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STRABLE-SOETHOUT DEANNA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711 HIGH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DES MOINES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50392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PRINCIPAL FINANCIAL GROUP INC</w:t>
              </w:r>
            </w:hyperlink>
            <w:r>
              <w:rPr/>
              <w:t xml:space="preserve"> [ </w:t>
            </w:r>
            <w:r>
              <w:rPr>
                <w:rFonts w:ascii="Times;serif" w:hAnsi="Times;serif"/>
                <w:color w:val="0000FF"/>
                <w:sz w:val="24"/>
                <w:shd w:fill="FFFFFF" w:val="clear"/>
              </w:rPr>
              <w:t>PFG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 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18,380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63.98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192,247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18,380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63.98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210,627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18,380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63.98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229,007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55,140</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120.5992</w:t>
            </w:r>
            <w:r>
              <w:rPr>
                <w:rFonts w:ascii="Times;serif" w:hAnsi="Times;serif"/>
                <w:color w:val="008000"/>
                <w:position w:val="7"/>
                <w:sz w:val="16"/>
                <w:sz w:val="20"/>
                <w:shd w:fill="FFFFFF" w:val="clear"/>
              </w:rPr>
              <w:t>(1)(2)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173,867</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63.98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18,380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18,380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63.98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63.98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18,380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18,380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63.98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63.98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18,380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63.98</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$120.05 to $121.11, inclusive. The reporting person undertakes to provide Principal Financial Group, Inc., any security holder of Principal Financial Group, Inc.,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were effected pursuant to a Rule 10b5-1 trading plan adopted by the reporting person on 02/28/2024.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 Agbe-Davies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78726" TargetMode="External"/><Relationship Id="rId5" Type="http://schemas.openxmlformats.org/officeDocument/2006/relationships/hyperlink" Target="http://www.sec.gov/cgi-bin/browse-edgar?action=getcompany&amp;CIK=00011263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3973</Characters>
  <CharactersWithSpaces>4574</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