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875d1_8k.htm"/>
      <w:bookmarkStart w:id="1" w:name="kstm262087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8_edei--DocumentType_c20260720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3"/>
        </w:rPr>
      </w:pPr>
      <w:r>
        <w:rPr>
          <w:rFonts w:ascii="Times New Roman;Times;Serif" w:hAnsi="Times New Roman;Times;Serif"/>
          <w:b/>
          <w:i w:val="false"/>
          <w:caps w:val="false"/>
          <w:smallCaps w:val="false"/>
          <w:sz w:val="23"/>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w:t>
      </w:r>
      <w:r>
        <w:rPr>
          <w:rFonts w:ascii="Times New Roman;Times;Serif" w:hAnsi="Times New Roman;Times;Serif"/>
          <w:b w:val="false"/>
          <w:i w:val="false"/>
          <w:caps w:val="false"/>
          <w:smallCaps w:val="false"/>
          <w:sz w:val="20"/>
        </w:rPr>
        <w:t xml:space="preserve"> </w:t>
      </w:r>
      <w:bookmarkStart w:id="3" w:name="xdx_900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PRINCIPAL FINANCIAL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pPr>
      <w:r>
        <w:rPr/>
        <w:t> </w:t>
      </w:r>
    </w:p>
    <w:tbl>
      <w:tblPr>
        <w:tblW w:w="6195" w:type="dxa"/>
        <w:jc w:val="left"/>
        <w:tblInd w:w="0" w:type="dxa"/>
        <w:tblLayout w:type="fixed"/>
        <w:tblCellMar>
          <w:top w:w="0" w:type="dxa"/>
          <w:left w:w="0" w:type="dxa"/>
          <w:bottom w:w="0" w:type="dxa"/>
          <w:right w:w="0" w:type="dxa"/>
        </w:tblCellMar>
      </w:tblPr>
      <w:tblGrid>
        <w:gridCol w:w="2165"/>
        <w:gridCol w:w="2135"/>
        <w:gridCol w:w="18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2135"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720"/>
            <w:bookmarkEnd w:id="6"/>
            <w:r>
              <w:rPr>
                <w:rFonts w:ascii="Times New Roman;Times;Serif" w:hAnsi="Times New Roman;Times;Serif"/>
                <w:b/>
                <w:sz w:val="20"/>
              </w:rPr>
              <w:t>1-16725</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42-1520346</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1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1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711 High Street, </w:t>
      </w:r>
      <w:bookmarkStart w:id="9" w:name="xdx_906_edei--EntityAddressCityOrTown_c2"/>
      <w:bookmarkEnd w:id="9"/>
      <w:r>
        <w:rPr>
          <w:rFonts w:ascii="Times New Roman;Times;Serif" w:hAnsi="Times New Roman;Times;Serif"/>
          <w:b/>
          <w:i w:val="false"/>
          <w:caps w:val="false"/>
          <w:smallCaps w:val="false"/>
          <w:sz w:val="20"/>
        </w:rPr>
        <w:t xml:space="preserve">Des Moines, </w:t>
      </w:r>
      <w:bookmarkStart w:id="10" w:name="xdx_906_edei--EntityAddressStateOrProvin"/>
      <w:bookmarkEnd w:id="10"/>
      <w:r>
        <w:rPr>
          <w:rFonts w:ascii="Times New Roman;Times;Serif" w:hAnsi="Times New Roman;Times;Serif"/>
          <w:b/>
          <w:i w:val="false"/>
          <w:caps w:val="false"/>
          <w:smallCaps w:val="false"/>
          <w:sz w:val="20"/>
        </w:rPr>
        <w:t>Iowa</w:t>
      </w:r>
      <w:r>
        <w:rPr>
          <w:rFonts w:ascii="Times New Roman;Times;Serif" w:hAnsi="Times New Roman;Times;Serif"/>
          <w:b w:val="false"/>
          <w:i w:val="false"/>
          <w:caps w:val="false"/>
          <w:smallCaps w:val="false"/>
          <w:sz w:val="20"/>
        </w:rPr>
        <w:t xml:space="preserve"> </w:t>
      </w:r>
      <w:bookmarkStart w:id="11" w:name="xdx_90C_edei--EntityAddressPostalZipCode"/>
      <w:bookmarkEnd w:id="11"/>
      <w:r>
        <w:rPr>
          <w:rFonts w:ascii="Times New Roman;Times;Serif" w:hAnsi="Times New Roman;Times;Serif"/>
          <w:b/>
          <w:i w:val="false"/>
          <w:caps w:val="false"/>
          <w:smallCaps w:val="false"/>
          <w:sz w:val="20"/>
        </w:rPr>
        <w:t>50392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720__20"/>
      <w:bookmarkEnd w:id="12"/>
      <w:r>
        <w:rPr>
          <w:rFonts w:ascii="Times New Roman;Times;Serif" w:hAnsi="Times New Roman;Times;Serif"/>
          <w:b/>
          <w:i w:val="false"/>
          <w:caps w:val="false"/>
          <w:smallCaps w:val="false"/>
          <w:sz w:val="20"/>
        </w:rPr>
        <w:t xml:space="preserve">515) </w:t>
      </w:r>
      <w:bookmarkStart w:id="13" w:name="xdx_902_edei--LocalPhoneNumber_c20260720"/>
      <w:bookmarkEnd w:id="13"/>
      <w:r>
        <w:rPr>
          <w:rFonts w:ascii="Times New Roman;Times;Serif" w:hAnsi="Times New Roman;Times;Serif"/>
          <w:b/>
          <w:i w:val="false"/>
          <w:caps w:val="false"/>
          <w:smallCaps w:val="false"/>
          <w:sz w:val="20"/>
        </w:rPr>
        <w:t>247-5111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(§203.405 of this chapter) or rule 12b-2 of the Securities Exchange Act of 1934 (§240.12b-2 of this chapter).</w:t>
            </w:r>
          </w:p>
        </w:tc>
      </w:tr>
    </w:tbl>
    <w:p>
      <w:pPr>
        <w:pStyle w:val="TextBody"/>
        <w:bidi w:val="0"/>
        <w:spacing w:before="0" w:after="283"/>
        <w:jc w:val="left"/>
        <w:rPr/>
      </w:pPr>
      <w:r>
        <w:rPr/>
        <w:t> </w:t>
      </w:r>
    </w:p>
    <w:p>
      <w:pPr>
        <w:pStyle w:val="TextBody"/>
        <w:bidi w:val="0"/>
        <w:ind w:left="0" w:right="360" w:hanging="0"/>
        <w:jc w:val="right"/>
        <w:rPr/>
      </w:pPr>
      <w:r>
        <w:rPr/>
        <w:t>      </w:t>
      </w:r>
      <w:r>
        <w:rPr>
          <w:sz w:val="20"/>
        </w:rPr>
        <w:t>Emerging growth company    </w:t>
      </w:r>
      <w:bookmarkStart w:id="18" w:name="xdx_909_edei--EntityEmergingGrowthCompan"/>
      <w:bookmarkEnd w:id="18"/>
      <w:r>
        <w:rPr>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283"/>
        <w:jc w:val="left"/>
        <w:rPr/>
      </w:pPr>
      <w:r>
        <w:rPr/>
        <w:t> </w:t>
      </w:r>
    </w:p>
    <w:tbl>
      <w:tblPr>
        <w:tblW w:w="6945" w:type="dxa"/>
        <w:jc w:val="left"/>
        <w:tblInd w:w="0" w:type="dxa"/>
        <w:tblLayout w:type="fixed"/>
        <w:tblCellMar>
          <w:top w:w="0" w:type="dxa"/>
          <w:left w:w="0" w:type="dxa"/>
          <w:bottom w:w="28" w:type="dxa"/>
          <w:right w:w="0" w:type="dxa"/>
        </w:tblCellMar>
      </w:tblPr>
      <w:tblGrid>
        <w:gridCol w:w="1535"/>
        <w:gridCol w:w="60"/>
        <w:gridCol w:w="158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60720"/>
            <w:bookmarkEnd w:id="19"/>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TradingSymbol_c20260720__2"/>
            <w:bookmarkEnd w:id="20"/>
            <w:r>
              <w:rPr>
                <w:rFonts w:ascii="Times New Roman;Times;Serif" w:hAnsi="Times New Roman;Times;Serif"/>
                <w:sz w:val="20"/>
              </w:rPr>
              <w:t>PFG</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4_edei--SecurityExchangeName_c2026"/>
            <w:bookmarkEnd w:id="21"/>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648" w:type="dxa"/>
        <w:jc w:val="left"/>
        <w:tblInd w:w="0" w:type="dxa"/>
        <w:tblLayout w:type="fixed"/>
        <w:tblCellMar>
          <w:top w:w="0" w:type="dxa"/>
          <w:left w:w="0" w:type="dxa"/>
          <w:bottom w:w="0" w:type="dxa"/>
          <w:right w:w="0" w:type="dxa"/>
        </w:tblCellMar>
      </w:tblPr>
      <w:tblGrid>
        <w:gridCol w:w="38"/>
        <w:gridCol w:w="96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i w:val="false"/>
                <w:caps w:val="false"/>
                <w:smallCaps w:val="false"/>
              </w:rPr>
            </w:pPr>
            <w:r>
              <w:rPr>
                <w:b/>
                <w:i w:val="false"/>
                <w:caps w:val="false"/>
                <w:smallCaps w:val="false"/>
              </w:rPr>
              <w:t>Item 7.01</w:t>
            </w:r>
          </w:p>
        </w:tc>
        <w:tc>
          <w:tcPr>
            <w:tcW w:w="2645" w:type="dxa"/>
            <w:tcBorders/>
            <w:vAlign w:val="center"/>
          </w:tcPr>
          <w:p>
            <w:pPr>
              <w:pStyle w:val="TableContents"/>
              <w:bidi w:val="0"/>
              <w:spacing w:before="0" w:after="283"/>
              <w:jc w:val="left"/>
              <w:rPr>
                <w:b/>
                <w:i w:val="false"/>
                <w:caps w:val="false"/>
                <w:smallCaps w:val="false"/>
              </w:rPr>
            </w:pPr>
            <w:r>
              <w:rPr>
                <w:b/>
                <w:i w:val="false"/>
                <w:caps w:val="false"/>
                <w:smallCaps w:val="false"/>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filed quarterly to disclose assets under management (“AUM”) by asset manager, prior to the availability of Principal Financial Group, Inc's (the "Company") quarterly earnings release. The amounts presented herein will be consistent with the format of AUM by asset manager and presented again in such format within the Company's financial supplement for the quarter ended June 30, 2026, when that document is posted to the Company's investor relations web site on or about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assets under management for Principal Financial Group were $808.0 billion, of which $601.9 billion is managed by Principal Asset Management - Investment Management and $168.5 billion is managed by Principal Asset Management - International 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a combination of foreign currency translation, market performance, and other items not reported as part of the Company’s net cash flow, had an approximate 6.4% positive impact as a percentage of beginning period AUM.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times of market dislocations and a wider dispersion of returns, it is important to note our exposure to small, mid-cap, and international products in equity AUM, high yield and preferred securities exposure in fixed income AUM, and exchange rate movement in emerging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1625"/>
        <w:gridCol w:w="590"/>
        <w:gridCol w:w="2885"/>
      </w:tblGrid>
      <w:tr>
        <w:trPr/>
        <w:tc>
          <w:tcPr>
            <w:tcW w:w="162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sz w:val="20"/>
              </w:rPr>
            </w:pPr>
            <w:r>
              <w:rPr>
                <w:sz w:val="20"/>
              </w:rPr>
              <w:t>PRINCIPAL FINANCIAL GROUP, INC.</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8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Humphrey Lee</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885" w:type="dxa"/>
            <w:tcBorders/>
            <w:vAlign w:val="center"/>
          </w:tcPr>
          <w:p>
            <w:pPr>
              <w:pStyle w:val="TableContents"/>
              <w:bidi w:val="0"/>
              <w:spacing w:before="0" w:after="283"/>
              <w:jc w:val="left"/>
              <w:rPr>
                <w:sz w:val="20"/>
              </w:rPr>
            </w:pPr>
            <w:r>
              <w:rPr>
                <w:sz w:val="20"/>
              </w:rPr>
              <w:t>Humphrey Lee</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885" w:type="dxa"/>
            <w:tcBorders/>
            <w:vAlign w:val="center"/>
          </w:tcPr>
          <w:p>
            <w:pPr>
              <w:pStyle w:val="TableContents"/>
              <w:bidi w:val="0"/>
              <w:spacing w:before="0" w:after="283"/>
              <w:jc w:val="left"/>
              <w:rPr>
                <w:sz w:val="20"/>
              </w:rPr>
            </w:pPr>
            <w:r>
              <w:rPr>
                <w:sz w:val="20"/>
              </w:rPr>
              <w:t>Vice President – Investor Relations</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20, 2026</w:t>
            </w:r>
          </w:p>
        </w:tc>
        <w:tc>
          <w:tcPr>
            <w:tcW w:w="5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537</Words>
  <Characters>2951</Characters>
  <CharactersWithSpaces>3502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