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Friedrich Amy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711 HIGH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DES MOINES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50392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PRINCIPAL FINANCIAL GROUP INC</w:t>
              </w:r>
            </w:hyperlink>
            <w:r>
              <w:rPr/>
              <w:t xml:space="preserve"> [ </w:t>
            </w:r>
            <w:r>
              <w:rPr>
                <w:rFonts w:ascii="Times;serif" w:hAnsi="Times;serif"/>
                <w:color w:val="0000FF"/>
                <w:sz w:val="24"/>
                <w:shd w:fill="FFFFFF" w:val="clear"/>
              </w:rPr>
              <w:t>PFG</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 Benefits &amp; Protect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35,680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63.98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144,543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35,680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113.8</w:t>
            </w:r>
            <w:r>
              <w:rPr>
                <w:rFonts w:ascii="Times;serif" w:hAnsi="Times;serif"/>
                <w:color w:val="008000"/>
                <w:position w:val="7"/>
                <w:sz w:val="16"/>
                <w:sz w:val="20"/>
                <w:shd w:fill="FFFFFF" w:val="clear"/>
              </w:rPr>
              <w:t>(1)(2)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108,863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11,893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11,893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11,894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effected pursuant to a Rule 10b5-1 trading plan adopted by the reporting person on 05/8/2026.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weighted average price. These shares were sold in multiple transactions at prices ranging from $113 to $114.60. The reporting person undertakes to provide Principal Financial Group, Inc., any security holder of Principal Financial Group, Inc.,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Agbe-Davies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7433" TargetMode="External"/><Relationship Id="rId5" Type="http://schemas.openxmlformats.org/officeDocument/2006/relationships/hyperlink" Target="http://www.sec.gov/cgi-bin/browse-edgar?action=getcompany&amp;CIK=00011263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3935</Characters>
  <CharactersWithSpaces>4546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