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379d1_8k.htm"/>
      <w:bookmarkStart w:id="1" w:name="kstm2621379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UNITED STATES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2"/>
        </w:rPr>
      </w:pPr>
      <w:r>
        <w:rPr>
          <w:rFonts w:ascii="Times New Roman;Times;Serif" w:hAnsi="Times New Roman;Times;Serif"/>
          <w:b/>
          <w:i w:val="false"/>
          <w:caps w:val="false"/>
          <w:smallCaps w:val="false"/>
          <w:sz w:val="32"/>
        </w:rPr>
        <w:t xml:space="preserve">FORM </w:t>
      </w:r>
      <w:bookmarkStart w:id="2" w:name="xdx_902_edei--DocumentType_c20260727__20"/>
      <w:bookmarkEnd w:id="2"/>
      <w:r>
        <w:rPr>
          <w:rFonts w:ascii="Times New Roman;Times;Serif" w:hAnsi="Times New Roman;Times;Serif"/>
          <w:b/>
          <w:i w:val="false"/>
          <w:caps w:val="false"/>
          <w:smallCaps w:val="false"/>
          <w:sz w:val="32"/>
        </w:rPr>
        <w:t>8-K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3"/>
        </w:rPr>
      </w:pPr>
      <w:r>
        <w:rPr>
          <w:rFonts w:ascii="Times New Roman;Times;Serif" w:hAnsi="Times New Roman;Times;Serif"/>
          <w:b/>
          <w:i w:val="false"/>
          <w:caps w:val="false"/>
          <w:smallCaps w:val="false"/>
          <w:sz w:val="23"/>
        </w:rPr>
        <w:t>CURRENT REPORT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Date of Report:</w:t>
      </w:r>
      <w:r>
        <w:rPr>
          <w:rFonts w:ascii="Times New Roman;Times;Serif" w:hAnsi="Times New Roman;Times;Serif"/>
          <w:b w:val="false"/>
          <w:i w:val="false"/>
          <w:caps w:val="false"/>
          <w:smallCaps w:val="false"/>
          <w:sz w:val="20"/>
        </w:rPr>
        <w:t xml:space="preserve"> </w:t>
      </w:r>
      <w:bookmarkStart w:id="3" w:name="xdx_901_edei--DocumentPeriodEndDate_c202"/>
      <w:bookmarkEnd w:id="3"/>
      <w:r>
        <w:rPr>
          <w:rFonts w:ascii="Times New Roman;Times;Serif" w:hAnsi="Times New Roman;Times;Serif"/>
          <w:b/>
          <w:i w:val="false"/>
          <w:caps w:val="false"/>
          <w:smallCaps w:val="false"/>
          <w:sz w:val="20"/>
        </w:rPr>
        <w:t>July 27, 2026</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earliest event reported)</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i w:val="false"/>
          <w:caps w:val="false"/>
          <w:smallCaps w:val="false"/>
          <w:sz w:val="28"/>
        </w:rPr>
      </w:pPr>
      <w:bookmarkStart w:id="4" w:name="xdx_900_edei--EntityRegistrantName_c2026"/>
      <w:bookmarkEnd w:id="4"/>
      <w:r>
        <w:rPr>
          <w:rFonts w:ascii="Times New Roman;Times;Serif" w:hAnsi="Times New Roman;Times;Serif"/>
          <w:b/>
          <w:i w:val="false"/>
          <w:caps w:val="false"/>
          <w:smallCaps w:val="false"/>
          <w:sz w:val="28"/>
        </w:rPr>
        <w:t>PRINCIPAL FINANCIAL GROUP,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pPr>
      <w:r>
        <w:rPr/>
        <w:t> </w:t>
      </w:r>
    </w:p>
    <w:tbl>
      <w:tblPr>
        <w:tblW w:w="6195" w:type="dxa"/>
        <w:jc w:val="left"/>
        <w:tblInd w:w="0" w:type="dxa"/>
        <w:tblLayout w:type="fixed"/>
        <w:tblCellMar>
          <w:top w:w="0" w:type="dxa"/>
          <w:left w:w="0" w:type="dxa"/>
          <w:bottom w:w="0" w:type="dxa"/>
          <w:right w:w="0" w:type="dxa"/>
        </w:tblCellMar>
      </w:tblPr>
      <w:tblGrid>
        <w:gridCol w:w="2165"/>
        <w:gridCol w:w="2135"/>
        <w:gridCol w:w="1895"/>
      </w:tblGrid>
      <w:tr>
        <w:trPr/>
        <w:tc>
          <w:tcPr>
            <w:tcW w:w="2165" w:type="dxa"/>
            <w:tcBorders/>
            <w:vAlign w:val="center"/>
          </w:tcPr>
          <w:p>
            <w:pPr>
              <w:pStyle w:val="TableContents"/>
              <w:bidi w:val="0"/>
              <w:spacing w:before="0" w:after="283"/>
              <w:jc w:val="center"/>
              <w:rPr>
                <w:rFonts w:ascii="Times New Roman;Times;Serif" w:hAnsi="Times New Roman;Times;Serif"/>
                <w:b/>
                <w:sz w:val="20"/>
              </w:rPr>
            </w:pPr>
            <w:bookmarkStart w:id="5" w:name="xdx_90F_edei--EntityIncorporationStateCo"/>
            <w:bookmarkEnd w:id="5"/>
            <w:r>
              <w:rPr>
                <w:rFonts w:ascii="Times New Roman;Times;Serif" w:hAnsi="Times New Roman;Times;Serif"/>
                <w:b/>
                <w:sz w:val="20"/>
              </w:rPr>
              <w:t>Delaware</w:t>
            </w:r>
          </w:p>
        </w:tc>
        <w:tc>
          <w:tcPr>
            <w:tcW w:w="2135" w:type="dxa"/>
            <w:tcBorders/>
            <w:vAlign w:val="center"/>
          </w:tcPr>
          <w:p>
            <w:pPr>
              <w:pStyle w:val="TableContents"/>
              <w:bidi w:val="0"/>
              <w:spacing w:before="0" w:after="283"/>
              <w:jc w:val="center"/>
              <w:rPr>
                <w:rFonts w:ascii="Times New Roman;Times;Serif" w:hAnsi="Times New Roman;Times;Serif"/>
                <w:b/>
                <w:sz w:val="20"/>
              </w:rPr>
            </w:pPr>
            <w:bookmarkStart w:id="6" w:name="xdx_90F_edei--EntityFileNumber_c20260727"/>
            <w:bookmarkEnd w:id="6"/>
            <w:r>
              <w:rPr>
                <w:rFonts w:ascii="Times New Roman;Times;Serif" w:hAnsi="Times New Roman;Times;Serif"/>
                <w:b/>
                <w:sz w:val="20"/>
              </w:rPr>
              <w:t>1-16725</w:t>
            </w:r>
          </w:p>
        </w:tc>
        <w:tc>
          <w:tcPr>
            <w:tcW w:w="1895" w:type="dxa"/>
            <w:tcBorders/>
            <w:vAlign w:val="center"/>
          </w:tcPr>
          <w:p>
            <w:pPr>
              <w:pStyle w:val="TableContents"/>
              <w:bidi w:val="0"/>
              <w:spacing w:before="0" w:after="283"/>
              <w:jc w:val="center"/>
              <w:rPr>
                <w:rFonts w:ascii="Times New Roman;Times;Serif" w:hAnsi="Times New Roman;Times;Serif"/>
                <w:b/>
                <w:sz w:val="20"/>
              </w:rPr>
            </w:pPr>
            <w:bookmarkStart w:id="7" w:name="xdx_902_edei--EntityTaxIdentificationNum"/>
            <w:bookmarkEnd w:id="7"/>
            <w:r>
              <w:rPr>
                <w:rFonts w:ascii="Times New Roman;Times;Serif" w:hAnsi="Times New Roman;Times;Serif"/>
                <w:b/>
                <w:sz w:val="20"/>
              </w:rPr>
              <w:t>42-1520346</w:t>
            </w:r>
          </w:p>
        </w:tc>
      </w:tr>
      <w:tr>
        <w:trPr/>
        <w:tc>
          <w:tcPr>
            <w:tcW w:w="21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w:t>
            </w:r>
          </w:p>
        </w:tc>
        <w:tc>
          <w:tcPr>
            <w:tcW w:w="213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18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w:t>
            </w:r>
          </w:p>
        </w:tc>
      </w:tr>
      <w:tr>
        <w:trPr/>
        <w:tc>
          <w:tcPr>
            <w:tcW w:w="21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of incorporation)</w:t>
            </w:r>
          </w:p>
        </w:tc>
        <w:tc>
          <w:tcPr>
            <w:tcW w:w="213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Identification Number)</w:t>
            </w:r>
          </w:p>
        </w:tc>
      </w:tr>
    </w:tbl>
    <w:p>
      <w:pPr>
        <w:pStyle w:val="TextBody"/>
        <w:bidi w:val="0"/>
        <w:spacing w:before="0" w:after="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 xml:space="preserve">711 High Street, </w:t>
      </w:r>
      <w:bookmarkStart w:id="9" w:name="xdx_90D_edei--EntityAddressCityOrTown_c2"/>
      <w:bookmarkEnd w:id="9"/>
      <w:r>
        <w:rPr>
          <w:rFonts w:ascii="Times New Roman;Times;Serif" w:hAnsi="Times New Roman;Times;Serif"/>
          <w:b/>
          <w:i w:val="false"/>
          <w:caps w:val="false"/>
          <w:smallCaps w:val="false"/>
          <w:sz w:val="20"/>
        </w:rPr>
        <w:t xml:space="preserve">Des Moines, </w:t>
      </w:r>
      <w:bookmarkStart w:id="10" w:name="xdx_907_edei--EntityAddressStateOrProvin"/>
      <w:bookmarkEnd w:id="10"/>
      <w:r>
        <w:rPr>
          <w:rFonts w:ascii="Times New Roman;Times;Serif" w:hAnsi="Times New Roman;Times;Serif"/>
          <w:b/>
          <w:i w:val="false"/>
          <w:caps w:val="false"/>
          <w:smallCaps w:val="false"/>
          <w:sz w:val="20"/>
        </w:rPr>
        <w:t>Iowa</w:t>
      </w:r>
      <w:r>
        <w:rPr>
          <w:rFonts w:ascii="Times New Roman;Times;Serif" w:hAnsi="Times New Roman;Times;Serif"/>
          <w:b w:val="false"/>
          <w:i w:val="false"/>
          <w:caps w:val="false"/>
          <w:smallCaps w:val="false"/>
          <w:sz w:val="20"/>
        </w:rPr>
        <w:t xml:space="preserve"> </w:t>
      </w:r>
      <w:bookmarkStart w:id="11" w:name="xdx_903_edei--EntityAddressPostalZipCode"/>
      <w:bookmarkEnd w:id="11"/>
      <w:r>
        <w:rPr>
          <w:rFonts w:ascii="Times New Roman;Times;Serif" w:hAnsi="Times New Roman;Times;Serif"/>
          <w:b/>
          <w:i w:val="false"/>
          <w:caps w:val="false"/>
          <w:smallCaps w:val="false"/>
          <w:sz w:val="20"/>
        </w:rPr>
        <w:t>50392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t>
      </w:r>
      <w:bookmarkStart w:id="12" w:name="xdx_90C_edei--CityAreaCode_c20260727__20"/>
      <w:bookmarkEnd w:id="12"/>
      <w:r>
        <w:rPr>
          <w:rFonts w:ascii="Times New Roman;Times;Serif" w:hAnsi="Times New Roman;Times;Serif"/>
          <w:b/>
          <w:i w:val="false"/>
          <w:caps w:val="false"/>
          <w:smallCaps w:val="false"/>
          <w:sz w:val="20"/>
        </w:rPr>
        <w:t xml:space="preserve">515) </w:t>
      </w:r>
      <w:bookmarkStart w:id="13" w:name="xdx_90D_edei--LocalPhoneNumber_c20260727"/>
      <w:bookmarkEnd w:id="13"/>
      <w:r>
        <w:rPr>
          <w:rFonts w:ascii="Times New Roman;Times;Serif" w:hAnsi="Times New Roman;Times;Serif"/>
          <w:b/>
          <w:i w:val="false"/>
          <w:caps w:val="false"/>
          <w:smallCaps w:val="false"/>
          <w:sz w:val="20"/>
        </w:rPr>
        <w:t>247-5111</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jc w:val="center"/>
        <w:rPr/>
      </w:pPr>
      <w:r>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4_edei--WrittenCommunications_c202"/>
            <w:bookmarkEnd w:id="14"/>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7295" w:type="dxa"/>
            <w:tcBorders/>
            <w:vAlign w:val="center"/>
          </w:tcPr>
          <w:p>
            <w:pPr>
              <w:pStyle w:val="TableContents"/>
              <w:bidi w:val="0"/>
              <w:spacing w:before="0" w:after="283"/>
              <w:jc w:val="both"/>
              <w:rPr/>
            </w:pPr>
            <w:r>
              <w:rPr/>
              <w:t> </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7_edei--SolicitingMaterial_c202607"/>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7325" w:type="dxa"/>
            <w:tcBorders/>
            <w:vAlign w:val="center"/>
          </w:tcPr>
          <w:p>
            <w:pPr>
              <w:pStyle w:val="TableContents"/>
              <w:bidi w:val="0"/>
              <w:spacing w:before="0" w:after="283"/>
              <w:jc w:val="both"/>
              <w:rPr/>
            </w:pPr>
            <w:r>
              <w:rPr/>
              <w:t> </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3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1_edei--PreCommencementIssuerTende"/>
            <w:bookmarkEnd w:id="17"/>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(§203.405 of this chapter) or rule 12b-2 of the Securities Exchange Act of 1934 (§240.12b-2 of this chapter).</w:t>
            </w:r>
          </w:p>
        </w:tc>
      </w:tr>
    </w:tbl>
    <w:p>
      <w:pPr>
        <w:pStyle w:val="TextBody"/>
        <w:bidi w:val="0"/>
        <w:spacing w:before="0" w:after="283"/>
        <w:jc w:val="left"/>
        <w:rPr/>
      </w:pPr>
      <w:r>
        <w:rPr/>
        <w:t> </w:t>
      </w:r>
    </w:p>
    <w:p>
      <w:pPr>
        <w:pStyle w:val="TextBody"/>
        <w:bidi w:val="0"/>
        <w:ind w:left="0" w:right="360" w:hanging="0"/>
        <w:jc w:val="right"/>
        <w:rPr/>
      </w:pPr>
      <w:r>
        <w:rPr/>
        <w:t>      </w:t>
      </w:r>
      <w:r>
        <w:rPr>
          <w:sz w:val="20"/>
        </w:rPr>
        <w:t>Emerging growth company    </w:t>
      </w:r>
      <w:bookmarkStart w:id="18" w:name="xdx_905_edei--EntityEmergingGrowthCompan"/>
      <w:bookmarkEnd w:id="18"/>
      <w:r>
        <w:rPr>
          <w:sz w:val="20"/>
        </w:rPr>
        <w:t>☐</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bl>
    <w:p>
      <w:pPr>
        <w:pStyle w:val="TextBody"/>
        <w:bidi w:val="0"/>
        <w:spacing w:before="0" w:after="283"/>
        <w:jc w:val="left"/>
        <w:rPr/>
      </w:pPr>
      <w:r>
        <w:rPr/>
        <w:t> </w:t>
      </w:r>
    </w:p>
    <w:tbl>
      <w:tblPr>
        <w:tblW w:w="6945" w:type="dxa"/>
        <w:jc w:val="left"/>
        <w:tblInd w:w="0" w:type="dxa"/>
        <w:tblLayout w:type="fixed"/>
        <w:tblCellMar>
          <w:top w:w="0" w:type="dxa"/>
          <w:left w:w="0" w:type="dxa"/>
          <w:bottom w:w="28" w:type="dxa"/>
          <w:right w:w="0" w:type="dxa"/>
        </w:tblCellMar>
      </w:tblPr>
      <w:tblGrid>
        <w:gridCol w:w="1535"/>
        <w:gridCol w:w="60"/>
        <w:gridCol w:w="1580"/>
        <w:gridCol w:w="60"/>
        <w:gridCol w:w="3710"/>
      </w:tblGrid>
      <w:tr>
        <w:trPr/>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35"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0_edei--Security12bTitle_c20260727"/>
            <w:bookmarkEnd w:id="19"/>
            <w:r>
              <w:rPr>
                <w:rFonts w:ascii="Times New Roman;Times;Serif" w:hAnsi="Times New Roman;Times;Serif"/>
                <w:sz w:val="20"/>
              </w:rPr>
              <w:t>Common Stock</w:t>
            </w:r>
          </w:p>
        </w:tc>
        <w:tc>
          <w:tcPr>
            <w:tcW w:w="60" w:type="dxa"/>
            <w:tcBorders/>
            <w:tcMar>
              <w:bottom w:w="0" w:type="dxa"/>
            </w:tcMar>
            <w:vAlign w:val="center"/>
          </w:tcPr>
          <w:p>
            <w:pPr>
              <w:pStyle w:val="TableContents"/>
              <w:bidi w:val="0"/>
              <w:spacing w:before="0" w:after="283"/>
              <w:jc w:val="left"/>
              <w:rPr/>
            </w:pPr>
            <w:r>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1_edei--TradingSymbol_c20260727__2"/>
            <w:bookmarkEnd w:id="20"/>
            <w:r>
              <w:rPr>
                <w:rFonts w:ascii="Times New Roman;Times;Serif" w:hAnsi="Times New Roman;Times;Serif"/>
                <w:sz w:val="20"/>
              </w:rPr>
              <w:t>PFG</w:t>
            </w:r>
          </w:p>
        </w:tc>
        <w:tc>
          <w:tcPr>
            <w:tcW w:w="60" w:type="dxa"/>
            <w:tcBorders/>
            <w:tcMar>
              <w:bottom w:w="0" w:type="dxa"/>
            </w:tcMar>
            <w:vAlign w:val="center"/>
          </w:tcPr>
          <w:p>
            <w:pPr>
              <w:pStyle w:val="TableContents"/>
              <w:bidi w:val="0"/>
              <w:spacing w:before="0" w:after="283"/>
              <w:jc w:val="left"/>
              <w:rPr/>
            </w:pPr>
            <w:r>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9_edei--SecurityExchangeName_c2026"/>
            <w:bookmarkEnd w:id="21"/>
            <w:r>
              <w:rPr>
                <w:rFonts w:ascii="Times New Roman;Times;Serif" w:hAnsi="Times New Roman;Times;Serif"/>
                <w:sz w:val="20"/>
              </w:rPr>
              <w:t>Nasdaq Global Select Market</w:t>
            </w:r>
          </w:p>
        </w:tc>
      </w:tr>
    </w:tbl>
    <w:p>
      <w:pPr>
        <w:pStyle w:val="TextBody"/>
        <w:bidi w:val="0"/>
        <w:spacing w:before="0" w:after="283"/>
        <w:jc w:val="left"/>
        <w:rPr/>
      </w:pPr>
      <w:r>
        <w:rPr/>
        <w:t> </w:t>
      </w:r>
    </w:p>
    <w:p>
      <w:pPr>
        <w:pStyle w:val="TextBody"/>
        <w:bidi w:val="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5725" w:type="dxa"/>
        <w:jc w:val="left"/>
        <w:tblInd w:w="0" w:type="dxa"/>
        <w:tblLayout w:type="fixed"/>
        <w:tblCellMar>
          <w:top w:w="0" w:type="dxa"/>
          <w:left w:w="0" w:type="dxa"/>
          <w:bottom w:w="0" w:type="dxa"/>
          <w:right w:w="0" w:type="dxa"/>
        </w:tblCellMar>
      </w:tblPr>
      <w:tblGrid>
        <w:gridCol w:w="980"/>
        <w:gridCol w:w="4745"/>
      </w:tblGrid>
      <w:tr>
        <w:trPr/>
        <w:tc>
          <w:tcPr>
            <w:tcW w:w="980" w:type="dxa"/>
            <w:tcBorders/>
            <w:vAlign w:val="center"/>
          </w:tcPr>
          <w:p>
            <w:pPr>
              <w:pStyle w:val="TableContents"/>
              <w:bidi w:val="0"/>
              <w:spacing w:before="0" w:after="283"/>
              <w:jc w:val="left"/>
              <w:rPr>
                <w:b/>
              </w:rPr>
            </w:pPr>
            <w:r>
              <w:rPr>
                <w:b/>
              </w:rPr>
              <w:t>Item 2.02</w:t>
            </w:r>
          </w:p>
        </w:tc>
        <w:tc>
          <w:tcPr>
            <w:tcW w:w="4745" w:type="dxa"/>
            <w:tcBorders/>
            <w:vAlign w:val="center"/>
          </w:tcPr>
          <w:p>
            <w:pPr>
              <w:pStyle w:val="TableContents"/>
              <w:bidi w:val="0"/>
              <w:spacing w:before="0" w:after="283"/>
              <w:jc w:val="left"/>
              <w:rPr>
                <w:b/>
              </w:rPr>
            </w:pPr>
            <w:r>
              <w:rPr>
                <w:b/>
              </w:rPr>
              <w:t>Results of Operations and Financial Condition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27, 2026, Principal Financial Group, Inc. publicly announced information regarding its results of operations and financial condition for the quarter ended June 30, 2026. The text of the announcement is included herewith as Exhibit 99.</w:t>
      </w:r>
    </w:p>
    <w:p>
      <w:pPr>
        <w:pStyle w:val="TextBody"/>
        <w:bidi w:val="0"/>
        <w:spacing w:before="0" w:after="0"/>
        <w:ind w:left="0" w:right="0" w:hanging="0"/>
        <w:jc w:val="left"/>
        <w:rPr>
          <w:caps w:val="false"/>
          <w:smallCaps w:val="false"/>
        </w:rPr>
      </w:pPr>
      <w:r>
        <w:rPr>
          <w:caps w:val="false"/>
          <w:smallCaps w:val="false"/>
        </w:rPr>
        <w:t> </w:t>
      </w:r>
    </w:p>
    <w:tbl>
      <w:tblPr>
        <w:tblW w:w="4465" w:type="dxa"/>
        <w:jc w:val="left"/>
        <w:tblInd w:w="0" w:type="dxa"/>
        <w:tblLayout w:type="fixed"/>
        <w:tblCellMar>
          <w:top w:w="0" w:type="dxa"/>
          <w:left w:w="0" w:type="dxa"/>
          <w:bottom w:w="0" w:type="dxa"/>
          <w:right w:w="0" w:type="dxa"/>
        </w:tblCellMar>
      </w:tblPr>
      <w:tblGrid>
        <w:gridCol w:w="965"/>
        <w:gridCol w:w="3500"/>
      </w:tblGrid>
      <w:tr>
        <w:trPr/>
        <w:tc>
          <w:tcPr>
            <w:tcW w:w="965" w:type="dxa"/>
            <w:tcBorders/>
            <w:vAlign w:val="center"/>
          </w:tcPr>
          <w:p>
            <w:pPr>
              <w:pStyle w:val="TableContents"/>
              <w:bidi w:val="0"/>
              <w:spacing w:before="0" w:after="283"/>
              <w:jc w:val="left"/>
              <w:rPr>
                <w:b/>
              </w:rPr>
            </w:pPr>
            <w:r>
              <w:rPr>
                <w:b/>
              </w:rPr>
              <w:t>Item 9.01</w:t>
            </w:r>
          </w:p>
        </w:tc>
        <w:tc>
          <w:tcPr>
            <w:tcW w:w="3500" w:type="dxa"/>
            <w:tcBorders/>
            <w:vAlign w:val="center"/>
          </w:tcPr>
          <w:p>
            <w:pPr>
              <w:pStyle w:val="TableContents"/>
              <w:bidi w:val="0"/>
              <w:spacing w:before="0" w:after="283"/>
              <w:jc w:val="both"/>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tbl>
      <w:tblPr>
        <w:tblW w:w="6520" w:type="dxa"/>
        <w:jc w:val="left"/>
        <w:tblInd w:w="0" w:type="dxa"/>
        <w:tblLayout w:type="fixed"/>
        <w:tblCellMar>
          <w:top w:w="0" w:type="dxa"/>
          <w:left w:w="0" w:type="dxa"/>
          <w:bottom w:w="0" w:type="dxa"/>
          <w:right w:w="0" w:type="dxa"/>
        </w:tblCellMar>
      </w:tblPr>
      <w:tblGrid>
        <w:gridCol w:w="395"/>
        <w:gridCol w:w="6125"/>
      </w:tblGrid>
      <w:tr>
        <w:trPr/>
        <w:tc>
          <w:tcPr>
            <w:tcW w:w="395" w:type="dxa"/>
            <w:tcBorders/>
            <w:vAlign w:val="center"/>
          </w:tcPr>
          <w:p>
            <w:pPr>
              <w:pStyle w:val="TableContents"/>
              <w:bidi w:val="0"/>
              <w:spacing w:before="0" w:after="283"/>
              <w:jc w:val="left"/>
              <w:rPr/>
            </w:pPr>
            <w:hyperlink w:anchor="tm2621379d1_ex99.htm">
              <w:r>
                <w:rPr>
                  <w:rStyle w:val="InternetLink"/>
                </w:rPr>
                <w:t>99</w:t>
              </w:r>
            </w:hyperlink>
          </w:p>
        </w:tc>
        <w:tc>
          <w:tcPr>
            <w:tcW w:w="6125" w:type="dxa"/>
            <w:tcBorders/>
            <w:vAlign w:val="center"/>
          </w:tcPr>
          <w:p>
            <w:pPr>
              <w:pStyle w:val="TableContents"/>
              <w:bidi w:val="0"/>
              <w:spacing w:before="0" w:after="283"/>
              <w:jc w:val="both"/>
              <w:rPr/>
            </w:pPr>
            <w:hyperlink w:anchor="tm2621379d1_ex99.htm">
              <w:r>
                <w:rPr>
                  <w:rStyle w:val="InternetLink"/>
                </w:rPr>
                <w:t>Second Quarter 2026 Earnings Release</w:t>
              </w:r>
            </w:hyperlink>
          </w:p>
        </w:tc>
      </w:tr>
      <w:tr>
        <w:trPr/>
        <w:tc>
          <w:tcPr>
            <w:tcW w:w="395" w:type="dxa"/>
            <w:tcBorders/>
            <w:vAlign w:val="center"/>
          </w:tcPr>
          <w:p>
            <w:pPr>
              <w:pStyle w:val="TableContents"/>
              <w:bidi w:val="0"/>
              <w:spacing w:before="0" w:after="283"/>
              <w:jc w:val="left"/>
              <w:rPr/>
            </w:pPr>
            <w:r>
              <w:rPr/>
              <w:t>104</w:t>
            </w:r>
          </w:p>
        </w:tc>
        <w:tc>
          <w:tcPr>
            <w:tcW w:w="6125" w:type="dxa"/>
            <w:tcBorders/>
            <w:vAlign w:val="center"/>
          </w:tcPr>
          <w:p>
            <w:pPr>
              <w:pStyle w:val="TableContents"/>
              <w:bidi w:val="0"/>
              <w:spacing w:before="0" w:after="283"/>
              <w:jc w:val="both"/>
              <w:rPr/>
            </w:pPr>
            <w:r>
              <w:rPr/>
              <w:t>Cover Page to this Current Report on Form 8-K in Inline XBRL</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6390" w:type="dxa"/>
        <w:jc w:val="left"/>
        <w:tblInd w:w="0" w:type="dxa"/>
        <w:tblLayout w:type="fixed"/>
        <w:tblCellMar>
          <w:top w:w="0" w:type="dxa"/>
          <w:left w:w="0" w:type="dxa"/>
          <w:bottom w:w="0" w:type="dxa"/>
          <w:right w:w="0" w:type="dxa"/>
        </w:tblCellMar>
      </w:tblPr>
      <w:tblGrid>
        <w:gridCol w:w="1625"/>
        <w:gridCol w:w="590"/>
        <w:gridCol w:w="4175"/>
      </w:tblGrid>
      <w:tr>
        <w:trPr/>
        <w:tc>
          <w:tcPr>
            <w:tcW w:w="1625" w:type="dxa"/>
            <w:tcBorders/>
            <w:vAlign w:val="center"/>
          </w:tcPr>
          <w:p>
            <w:pPr>
              <w:pStyle w:val="TableContents"/>
              <w:bidi w:val="0"/>
              <w:spacing w:before="0" w:after="283"/>
              <w:jc w:val="left"/>
              <w:rPr/>
            </w:pPr>
            <w:r>
              <w:rPr/>
              <w:t> </w:t>
            </w:r>
          </w:p>
        </w:tc>
        <w:tc>
          <w:tcPr>
            <w:tcW w:w="4765" w:type="dxa"/>
            <w:gridSpan w:val="2"/>
            <w:tcBorders/>
            <w:vAlign w:val="center"/>
          </w:tcPr>
          <w:p>
            <w:pPr>
              <w:pStyle w:val="TableContents"/>
              <w:bidi w:val="0"/>
              <w:spacing w:before="0" w:after="283"/>
              <w:jc w:val="left"/>
              <w:rPr>
                <w:sz w:val="20"/>
              </w:rPr>
            </w:pPr>
            <w:r>
              <w:rPr>
                <w:sz w:val="20"/>
              </w:rPr>
              <w:t>PRINCIPAL FINANCIAL GROUP, INC.</w:t>
            </w:r>
          </w:p>
        </w:tc>
      </w:tr>
      <w:tr>
        <w:trPr/>
        <w:tc>
          <w:tcPr>
            <w:tcW w:w="16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4175" w:type="dxa"/>
            <w:tcBorders>
              <w:bottom w:val="single" w:sz="8" w:space="0" w:color="000000"/>
            </w:tcBorders>
            <w:tcMar>
              <w:bottom w:w="28" w:type="dxa"/>
            </w:tcMar>
            <w:vAlign w:val="center"/>
          </w:tcPr>
          <w:p>
            <w:pPr>
              <w:pStyle w:val="TableContents"/>
              <w:bidi w:val="0"/>
              <w:spacing w:before="0" w:after="283"/>
              <w:jc w:val="left"/>
              <w:rPr>
                <w:sz w:val="20"/>
              </w:rPr>
            </w:pPr>
            <w:r>
              <w:rPr>
                <w:sz w:val="20"/>
              </w:rPr>
              <w:t>/s/ Joel Pitz</w:t>
            </w:r>
          </w:p>
        </w:tc>
      </w:tr>
      <w:tr>
        <w:trPr/>
        <w:tc>
          <w:tcPr>
            <w:tcW w:w="16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4175" w:type="dxa"/>
            <w:tcBorders/>
            <w:vAlign w:val="center"/>
          </w:tcPr>
          <w:p>
            <w:pPr>
              <w:pStyle w:val="TableContents"/>
              <w:bidi w:val="0"/>
              <w:spacing w:before="0" w:after="283"/>
              <w:jc w:val="left"/>
              <w:rPr>
                <w:sz w:val="20"/>
              </w:rPr>
            </w:pPr>
            <w:r>
              <w:rPr>
                <w:sz w:val="20"/>
              </w:rPr>
              <w:t>Joel Pitz</w:t>
            </w:r>
          </w:p>
        </w:tc>
      </w:tr>
      <w:tr>
        <w:trPr/>
        <w:tc>
          <w:tcPr>
            <w:tcW w:w="16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4175" w:type="dxa"/>
            <w:tcBorders/>
            <w:vAlign w:val="center"/>
          </w:tcPr>
          <w:p>
            <w:pPr>
              <w:pStyle w:val="TableContents"/>
              <w:bidi w:val="0"/>
              <w:spacing w:before="0" w:after="283"/>
              <w:jc w:val="left"/>
              <w:rPr>
                <w:sz w:val="20"/>
              </w:rPr>
            </w:pPr>
            <w:r>
              <w:rPr>
                <w:sz w:val="20"/>
              </w:rPr>
              <w:t>Executive Vice President &amp; Chief Financial Officer</w:t>
            </w:r>
          </w:p>
        </w:tc>
      </w:tr>
      <w:tr>
        <w:trPr/>
        <w:tc>
          <w:tcPr>
            <w:tcW w:w="16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sz w:val="20"/>
              </w:rPr>
            </w:pPr>
            <w:r>
              <w:rPr>
                <w:sz w:val="20"/>
              </w:rPr>
              <w:t>Date: July 27, 2026</w:t>
            </w:r>
          </w:p>
        </w:tc>
        <w:tc>
          <w:tcPr>
            <w:tcW w:w="59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22" w:name="tm2621379d1_ex99.htm"/>
      <w:bookmarkStart w:id="23" w:name="kstm2621379d1_ex99"/>
      <w:bookmarkEnd w:id="22"/>
      <w:bookmarkEnd w:id="23"/>
      <w:r>
        <w:rPr/>
        <w:t> </w:t>
      </w:r>
      <w:r>
        <w:br w:type="page"/>
      </w:r>
    </w:p>
    <w:p>
      <w:pPr>
        <w:pStyle w:val="TextBody"/>
        <w:bidi w:val="0"/>
        <w:spacing w:before="0" w:after="0"/>
        <w:ind w:left="0" w:right="0" w:hanging="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99</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63830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38300" cy="504825"/>
                    </a:xfrm>
                    <a:prstGeom prst="rect">
                      <a:avLst/>
                    </a:prstGeom>
                  </pic:spPr>
                </pic:pic>
              </a:graphicData>
            </a:graphic>
          </wp:inline>
        </w:drawing>
      </w: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tbl>
      <w:tblPr>
        <w:tblW w:w="3490" w:type="dxa"/>
        <w:jc w:val="left"/>
        <w:tblInd w:w="0" w:type="dxa"/>
        <w:tblLayout w:type="fixed"/>
        <w:tblCellMar>
          <w:top w:w="0" w:type="dxa"/>
          <w:left w:w="0" w:type="dxa"/>
          <w:bottom w:w="0" w:type="dxa"/>
          <w:right w:w="0" w:type="dxa"/>
        </w:tblCellMar>
      </w:tblPr>
      <w:tblGrid>
        <w:gridCol w:w="1850"/>
        <w:gridCol w:w="60"/>
        <w:gridCol w:w="1505"/>
        <w:gridCol w:w="75"/>
      </w:tblGrid>
      <w:tr>
        <w:trPr/>
        <w:tc>
          <w:tcPr>
            <w:tcW w:w="185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b/>
                <w:sz w:val="16"/>
              </w:rPr>
              <w:t>INVESTOR CONTACT</w:t>
            </w:r>
            <w:r>
              <w:rPr>
                <w:rFonts w:ascii="Times New Roman;Times;Serif" w:hAnsi="Times New Roman;Times;Serif"/>
                <w:sz w:val="16"/>
              </w:rPr>
              <w:t xml:space="preserve">: </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rFonts w:ascii="Times New Roman;Times;Serif" w:hAnsi="Times New Roman;Times;Serif"/>
                <w:b/>
                <w:sz w:val="16"/>
              </w:rPr>
            </w:pPr>
            <w:r>
              <w:rPr>
                <w:rFonts w:ascii="Times New Roman;Times;Serif" w:hAnsi="Times New Roman;Times;Serif"/>
                <w:b/>
                <w:sz w:val="16"/>
              </w:rPr>
              <w:t>MEDIA CONTACT:</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8375" w:type="dxa"/>
        <w:jc w:val="left"/>
        <w:tblInd w:w="0" w:type="dxa"/>
        <w:tblLayout w:type="fixed"/>
        <w:tblCellMar>
          <w:top w:w="0" w:type="dxa"/>
          <w:left w:w="0" w:type="dxa"/>
          <w:bottom w:w="0" w:type="dxa"/>
          <w:right w:w="0" w:type="dxa"/>
        </w:tblCellMar>
      </w:tblPr>
      <w:tblGrid>
        <w:gridCol w:w="1085"/>
        <w:gridCol w:w="3290"/>
        <w:gridCol w:w="905"/>
        <w:gridCol w:w="3095"/>
      </w:tblGrid>
      <w:tr>
        <w:trPr/>
        <w:tc>
          <w:tcPr>
            <w:tcW w:w="108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Humphrey Lee</w:t>
            </w:r>
          </w:p>
        </w:tc>
        <w:tc>
          <w:tcPr>
            <w:tcW w:w="3290"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xml:space="preserve">877-909-1105, </w:t>
            </w:r>
            <w:r>
              <w:rPr>
                <w:rFonts w:ascii="Times New Roman;Times;Serif" w:hAnsi="Times New Roman;Times;Serif"/>
                <w:color w:val="0000FF"/>
                <w:sz w:val="16"/>
                <w:u w:val="single"/>
              </w:rPr>
              <w:t>lee.humphrey@principal.com</w:t>
            </w:r>
            <w:r>
              <w:rPr>
                <w:rFonts w:ascii="Times New Roman;Times;Serif" w:hAnsi="Times New Roman;Times;Serif"/>
                <w:color w:val="0000FF"/>
                <w:sz w:val="16"/>
              </w:rPr>
              <w:t xml:space="preserve">  </w:t>
            </w:r>
          </w:p>
        </w:tc>
        <w:tc>
          <w:tcPr>
            <w:tcW w:w="90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Sara Bonney</w:t>
            </w:r>
          </w:p>
        </w:tc>
        <w:tc>
          <w:tcPr>
            <w:tcW w:w="3095" w:type="dxa"/>
            <w:tcBorders/>
            <w:vAlign w:val="center"/>
          </w:tcPr>
          <w:p>
            <w:pPr>
              <w:pStyle w:val="TableContents"/>
              <w:bidi w:val="0"/>
              <w:spacing w:before="0" w:after="283"/>
              <w:jc w:val="left"/>
              <w:rPr>
                <w:rFonts w:ascii="Times New Roman;Times;Serif" w:hAnsi="Times New Roman;Times;Serif"/>
                <w:sz w:val="16"/>
              </w:rPr>
            </w:pPr>
            <w:r>
              <w:rPr>
                <w:rFonts w:ascii="Times New Roman;Times;Serif" w:hAnsi="Times New Roman;Times;Serif"/>
                <w:sz w:val="16"/>
              </w:rPr>
              <w:t xml:space="preserve">515-878-0835, </w:t>
            </w:r>
            <w:r>
              <w:rPr>
                <w:rFonts w:ascii="Times New Roman;Times;Serif" w:hAnsi="Times New Roman;Times;Serif"/>
                <w:color w:val="0000FF"/>
                <w:sz w:val="16"/>
                <w:u w:val="single"/>
              </w:rPr>
              <w:t>bonney.sara@principal.com</w:t>
            </w:r>
          </w:p>
        </w:tc>
      </w:tr>
    </w:tbl>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color w:val="004C97"/>
          <w:sz w:val="32"/>
        </w:rPr>
      </w:pPr>
      <w:r>
        <w:rPr>
          <w:rFonts w:ascii="Arial;Helvetica;Sans-Serif" w:hAnsi="Arial;Helvetica;Sans-Serif"/>
          <w:b/>
          <w:i w:val="false"/>
          <w:caps w:val="false"/>
          <w:smallCaps w:val="false"/>
          <w:color w:val="004C97"/>
          <w:sz w:val="32"/>
        </w:rPr>
        <w:t>Principal Financial Group Announces Second Quarter 2026 Results</w:t>
      </w:r>
    </w:p>
    <w:p>
      <w:pPr>
        <w:pStyle w:val="TextBody"/>
        <w:bidi w:val="0"/>
        <w:spacing w:before="0" w:after="0"/>
        <w:ind w:left="0" w:right="0" w:hanging="0"/>
        <w:jc w:val="center"/>
        <w:rPr>
          <w:caps w:val="false"/>
          <w:smallCaps w:val="false"/>
          <w:color w:val="004C97"/>
        </w:rPr>
      </w:pPr>
      <w:r>
        <w:rPr>
          <w:caps w:val="false"/>
          <w:smallCaps w:val="false"/>
          <w:color w:val="004C97"/>
        </w:rPr>
        <w:t> </w:t>
      </w:r>
    </w:p>
    <w:p>
      <w:pPr>
        <w:pStyle w:val="TextBody"/>
        <w:bidi w:val="0"/>
        <w:spacing w:before="0" w:after="0"/>
        <w:ind w:left="0" w:right="0" w:hanging="0"/>
        <w:jc w:val="center"/>
        <w:rPr>
          <w:rFonts w:ascii="Arial;Helvetica;Sans-Serif" w:hAnsi="Arial;Helvetica;Sans-Serif"/>
          <w:b w:val="false"/>
          <w:i w:val="false"/>
          <w:caps w:val="false"/>
          <w:smallCaps w:val="false"/>
          <w:color w:val="004C97"/>
          <w:sz w:val="22"/>
        </w:rPr>
      </w:pPr>
      <w:r>
        <w:rPr>
          <w:rFonts w:ascii="Arial;Helvetica;Sans-Serif" w:hAnsi="Arial;Helvetica;Sans-Serif"/>
          <w:b w:val="false"/>
          <w:i w:val="false"/>
          <w:caps w:val="false"/>
          <w:smallCaps w:val="false"/>
          <w:color w:val="004C97"/>
          <w:sz w:val="22"/>
        </w:rPr>
        <w:t>Raises third quarter 2026 common stock dividend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(Des Moines, Iowa) – Principal Financial Group</w:t>
      </w:r>
      <w:r>
        <w:rPr>
          <w:rFonts w:ascii="Arial;Helvetica;Sans-Serif" w:hAnsi="Arial;Helvetica;Sans-Serif"/>
          <w:b w:val="false"/>
          <w:i w:val="false"/>
          <w:caps w:val="false"/>
          <w:smallCaps w:val="false"/>
          <w:position w:val="7"/>
          <w:sz w:val="16"/>
          <w:sz w:val="20"/>
        </w:rPr>
        <w:t>®</w:t>
      </w:r>
      <w:r>
        <w:rPr>
          <w:rFonts w:ascii="Arial;Helvetica;Sans-Serif" w:hAnsi="Arial;Helvetica;Sans-Serif"/>
          <w:b w:val="false"/>
          <w:i w:val="false"/>
          <w:caps w:val="false"/>
          <w:smallCaps w:val="false"/>
          <w:sz w:val="20"/>
        </w:rPr>
        <w:t xml:space="preserve"> (Nasdaq: PFG) announced results for second quarter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center"/>
        <w:tblInd w:w="0" w:type="dxa"/>
        <w:tblLayout w:type="fixed"/>
        <w:tblCellMar>
          <w:top w:w="0" w:type="dxa"/>
          <w:left w:w="0" w:type="dxa"/>
          <w:bottom w:w="0" w:type="dxa"/>
          <w:right w:w="0" w:type="dxa"/>
        </w:tblCellMar>
      </w:tblPr>
      <w:tblGrid>
        <w:gridCol w:w="4598"/>
        <w:gridCol w:w="485"/>
        <w:gridCol w:w="60"/>
        <w:gridCol w:w="4583"/>
        <w:gridCol w:w="479"/>
      </w:tblGrid>
      <w:tr>
        <w:trPr/>
        <w:tc>
          <w:tcPr>
            <w:tcW w:w="4598" w:type="dxa"/>
            <w:tcBorders/>
            <w:shd w:fill="004C97" w:val="clear"/>
            <w:vAlign w:val="center"/>
          </w:tcPr>
          <w:p>
            <w:pPr>
              <w:pStyle w:val="TableContents"/>
              <w:bidi w:val="0"/>
              <w:spacing w:before="0" w:after="283"/>
              <w:jc w:val="center"/>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Diluted earnings per common share</w:t>
            </w:r>
          </w:p>
        </w:tc>
        <w:tc>
          <w:tcPr>
            <w:tcW w:w="485" w:type="dxa"/>
            <w:tcBorders/>
            <w:shd w:fill="004C97" w:val="clear"/>
            <w:vAlign w:val="center"/>
          </w:tcPr>
          <w:p>
            <w:pPr>
              <w:pStyle w:val="TableContents"/>
              <w:bidi w:val="0"/>
              <w:spacing w:before="0" w:after="283"/>
              <w:jc w:val="center"/>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2Q26</w:t>
            </w:r>
          </w:p>
        </w:tc>
        <w:tc>
          <w:tcPr>
            <w:tcW w:w="60" w:type="dxa"/>
            <w:tcBorders/>
            <w:vAlign w:val="center"/>
          </w:tcPr>
          <w:p>
            <w:pPr>
              <w:pStyle w:val="TableContents"/>
              <w:bidi w:val="0"/>
              <w:spacing w:before="0" w:after="283"/>
              <w:jc w:val="center"/>
              <w:rPr>
                <w:caps w:val="false"/>
                <w:smallCaps w:val="false"/>
                <w:color w:val="FFFFFF"/>
              </w:rPr>
            </w:pPr>
            <w:r>
              <w:rPr>
                <w:caps w:val="false"/>
                <w:smallCaps w:val="false"/>
                <w:color w:val="FFFFFF"/>
              </w:rPr>
              <w:t> </w:t>
            </w:r>
          </w:p>
        </w:tc>
        <w:tc>
          <w:tcPr>
            <w:tcW w:w="4583" w:type="dxa"/>
            <w:tcBorders/>
            <w:shd w:fill="004C97" w:val="clear"/>
            <w:vAlign w:val="center"/>
          </w:tcPr>
          <w:p>
            <w:pPr>
              <w:pStyle w:val="TableContents"/>
              <w:bidi w:val="0"/>
              <w:spacing w:before="0" w:after="283"/>
              <w:jc w:val="center"/>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Earnings (in millions)</w:t>
            </w:r>
          </w:p>
        </w:tc>
        <w:tc>
          <w:tcPr>
            <w:tcW w:w="479" w:type="dxa"/>
            <w:tcBorders/>
            <w:shd w:fill="004C97" w:val="clear"/>
            <w:vAlign w:val="center"/>
          </w:tcPr>
          <w:p>
            <w:pPr>
              <w:pStyle w:val="TableContents"/>
              <w:bidi w:val="0"/>
              <w:spacing w:before="0" w:after="283"/>
              <w:ind w:left="0" w:right="0" w:hanging="180"/>
              <w:jc w:val="center"/>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2Q26</w:t>
            </w:r>
          </w:p>
        </w:tc>
      </w:tr>
      <w:tr>
        <w:trPr/>
        <w:tc>
          <w:tcPr>
            <w:tcW w:w="4598"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Net income attributable to PFG </w:t>
            </w:r>
          </w:p>
        </w:tc>
        <w:tc>
          <w:tcPr>
            <w:tcW w:w="48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$1.84</w:t>
            </w:r>
          </w:p>
        </w:tc>
        <w:tc>
          <w:tcPr>
            <w:tcW w:w="60"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c>
          <w:tcPr>
            <w:tcW w:w="4583"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 xml:space="preserve">Net income attributable to PFG </w:t>
            </w:r>
          </w:p>
        </w:tc>
        <w:tc>
          <w:tcPr>
            <w:tcW w:w="479" w:type="dxa"/>
            <w:tcBorders/>
            <w:vAlign w:val="center"/>
          </w:tcPr>
          <w:p>
            <w:pPr>
              <w:pStyle w:val="TableContents"/>
              <w:bidi w:val="0"/>
              <w:spacing w:before="0" w:after="283"/>
              <w:ind w:left="0" w:right="0" w:hanging="180"/>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$403</w:t>
            </w:r>
          </w:p>
        </w:tc>
      </w:tr>
      <w:tr>
        <w:trPr/>
        <w:tc>
          <w:tcPr>
            <w:tcW w:w="4598"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color w:val="000000"/>
                <w:sz w:val="18"/>
              </w:rPr>
              <w:t>Non-GAAP net income attributable to PFG, excluding exited business</w:t>
            </w:r>
            <w:r>
              <w:rPr>
                <w:rFonts w:ascii="Arial;Helvetica;Sans-Serif" w:hAnsi="Arial;Helvetica;Sans-Serif"/>
                <w:b w:val="false"/>
                <w:i w:val="false"/>
                <w:caps w:val="false"/>
                <w:smallCaps w:val="false"/>
                <w:position w:val="6"/>
                <w:sz w:val="14"/>
                <w:sz w:val="18"/>
              </w:rPr>
              <w:t>1</w:t>
            </w:r>
          </w:p>
        </w:tc>
        <w:tc>
          <w:tcPr>
            <w:tcW w:w="48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$2.44</w:t>
            </w:r>
          </w:p>
        </w:tc>
        <w:tc>
          <w:tcPr>
            <w:tcW w:w="60"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c>
          <w:tcPr>
            <w:tcW w:w="4583"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Non-GAAP net income attributable to PFG, excluding exited business</w:t>
            </w:r>
            <w:r>
              <w:rPr>
                <w:rFonts w:ascii="Arial;Helvetica;Sans-Serif" w:hAnsi="Arial;Helvetica;Sans-Serif"/>
                <w:b w:val="false"/>
                <w:i w:val="false"/>
                <w:caps w:val="false"/>
                <w:smallCaps w:val="false"/>
                <w:color w:val="000000"/>
                <w:position w:val="6"/>
                <w:sz w:val="14"/>
                <w:sz w:val="18"/>
              </w:rPr>
              <w:t>1</w:t>
            </w:r>
          </w:p>
        </w:tc>
        <w:tc>
          <w:tcPr>
            <w:tcW w:w="479" w:type="dxa"/>
            <w:tcBorders/>
            <w:vAlign w:val="center"/>
          </w:tcPr>
          <w:p>
            <w:pPr>
              <w:pStyle w:val="TableContents"/>
              <w:bidi w:val="0"/>
              <w:spacing w:before="0" w:after="283"/>
              <w:ind w:left="0" w:right="0" w:hanging="180"/>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$535</w:t>
            </w:r>
          </w:p>
        </w:tc>
      </w:tr>
      <w:tr>
        <w:trPr/>
        <w:tc>
          <w:tcPr>
            <w:tcW w:w="4598"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Non-GAAP operating earnings</w:t>
            </w:r>
            <w:r>
              <w:rPr>
                <w:rFonts w:ascii="Arial;Helvetica;Sans-Serif" w:hAnsi="Arial;Helvetica;Sans-Serif"/>
                <w:b w:val="false"/>
                <w:i w:val="false"/>
                <w:caps w:val="false"/>
                <w:smallCaps w:val="false"/>
                <w:color w:val="000000"/>
                <w:position w:val="6"/>
                <w:sz w:val="14"/>
                <w:sz w:val="18"/>
              </w:rPr>
              <w:t>1</w:t>
            </w:r>
          </w:p>
        </w:tc>
        <w:tc>
          <w:tcPr>
            <w:tcW w:w="48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$2.50</w:t>
            </w:r>
          </w:p>
        </w:tc>
        <w:tc>
          <w:tcPr>
            <w:tcW w:w="60"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c>
          <w:tcPr>
            <w:tcW w:w="4583"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Non-GAAP operating earnings</w:t>
            </w:r>
            <w:r>
              <w:rPr>
                <w:rFonts w:ascii="Arial;Helvetica;Sans-Serif" w:hAnsi="Arial;Helvetica;Sans-Serif"/>
                <w:b w:val="false"/>
                <w:i w:val="false"/>
                <w:caps w:val="false"/>
                <w:smallCaps w:val="false"/>
                <w:color w:val="000000"/>
                <w:position w:val="6"/>
                <w:sz w:val="14"/>
                <w:sz w:val="18"/>
              </w:rPr>
              <w:t>1</w:t>
            </w:r>
          </w:p>
        </w:tc>
        <w:tc>
          <w:tcPr>
            <w:tcW w:w="479" w:type="dxa"/>
            <w:tcBorders/>
            <w:vAlign w:val="center"/>
          </w:tcPr>
          <w:p>
            <w:pPr>
              <w:pStyle w:val="TableContents"/>
              <w:bidi w:val="0"/>
              <w:spacing w:before="0" w:after="283"/>
              <w:ind w:left="0" w:right="0" w:hanging="180"/>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$547</w:t>
            </w:r>
          </w:p>
        </w:tc>
      </w:tr>
      <w:tr>
        <w:trPr/>
        <w:tc>
          <w:tcPr>
            <w:tcW w:w="4598"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Non-GAAP operating earnings excluding significant variances</w:t>
            </w:r>
            <w:r>
              <w:rPr>
                <w:rFonts w:ascii="Arial;Helvetica;Sans-Serif" w:hAnsi="Arial;Helvetica;Sans-Serif"/>
                <w:b w:val="false"/>
                <w:i w:val="false"/>
                <w:caps w:val="false"/>
                <w:smallCaps w:val="false"/>
                <w:color w:val="000000"/>
                <w:position w:val="6"/>
                <w:sz w:val="14"/>
                <w:sz w:val="18"/>
              </w:rPr>
              <w:t>2</w:t>
            </w:r>
          </w:p>
        </w:tc>
        <w:tc>
          <w:tcPr>
            <w:tcW w:w="48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$2.42</w:t>
            </w:r>
          </w:p>
        </w:tc>
        <w:tc>
          <w:tcPr>
            <w:tcW w:w="60" w:type="dxa"/>
            <w:tcBorders/>
            <w:vAlign w:val="center"/>
          </w:tcPr>
          <w:p>
            <w:pPr>
              <w:pStyle w:val="TableContents"/>
              <w:bidi w:val="0"/>
              <w:spacing w:before="0" w:after="283"/>
              <w:ind w:left="0" w:right="0" w:hanging="180"/>
              <w:jc w:val="center"/>
              <w:rPr>
                <w:caps w:val="false"/>
                <w:smallCaps w:val="false"/>
              </w:rPr>
            </w:pPr>
            <w:r>
              <w:rPr>
                <w:caps w:val="false"/>
                <w:smallCaps w:val="false"/>
              </w:rPr>
              <w:t> </w:t>
            </w:r>
          </w:p>
        </w:tc>
        <w:tc>
          <w:tcPr>
            <w:tcW w:w="4583" w:type="dxa"/>
            <w:tcBorders/>
            <w:vAlign w:val="center"/>
          </w:tcPr>
          <w:p>
            <w:pPr>
              <w:pStyle w:val="TableContents"/>
              <w:bidi w:val="0"/>
              <w:spacing w:before="0" w:after="283"/>
              <w:jc w:val="left"/>
              <w:rPr>
                <w:rFonts w:ascii="Arial;Helvetica;Sans-Serif" w:hAnsi="Arial;Helvetica;Sans-Serif"/>
                <w:b w:val="false"/>
                <w:i w:val="false"/>
                <w:caps w:val="false"/>
                <w:smallCaps w:val="false"/>
                <w:color w:val="000000"/>
                <w:sz w:val="18"/>
              </w:rPr>
            </w:pPr>
            <w:r>
              <w:rPr>
                <w:rFonts w:ascii="Arial;Helvetica;Sans-Serif" w:hAnsi="Arial;Helvetica;Sans-Serif"/>
                <w:b w:val="false"/>
                <w:i w:val="false"/>
                <w:caps w:val="false"/>
                <w:smallCaps w:val="false"/>
                <w:color w:val="000000"/>
                <w:sz w:val="18"/>
              </w:rPr>
              <w:t>Non-GAAP operating earnings excluding significant variances</w:t>
            </w:r>
            <w:r>
              <w:rPr>
                <w:rFonts w:ascii="Arial;Helvetica;Sans-Serif" w:hAnsi="Arial;Helvetica;Sans-Serif"/>
                <w:b w:val="false"/>
                <w:i w:val="false"/>
                <w:caps w:val="false"/>
                <w:smallCaps w:val="false"/>
                <w:color w:val="000000"/>
                <w:position w:val="6"/>
                <w:sz w:val="14"/>
                <w:sz w:val="18"/>
              </w:rPr>
              <w:t>2</w:t>
            </w:r>
          </w:p>
        </w:tc>
        <w:tc>
          <w:tcPr>
            <w:tcW w:w="479" w:type="dxa"/>
            <w:tcBorders/>
            <w:vAlign w:val="center"/>
          </w:tcPr>
          <w:p>
            <w:pPr>
              <w:pStyle w:val="TableContents"/>
              <w:bidi w:val="0"/>
              <w:spacing w:before="0" w:after="283"/>
              <w:jc w:val="center"/>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$529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75000" cy="4050030"/>
                <wp:effectExtent l="0" t="0" r="0" b="0"/>
                <wp:wrapSquare wrapText="right"/>
                <wp:docPr id="2" name="Frame1"/>
                <a:graphic xmlns:a="http://schemas.openxmlformats.org/drawingml/2006/main">
                  <a:graphicData uri="http://schemas.microsoft.com/office/word/2010/wordprocessingShape">
                    <wps:wsp>
                      <wps:cNvSpPr txBox="1"/>
                      <wps:spPr>
                        <a:xfrm>
                          <a:off x="0" y="0"/>
                          <a:ext cx="3175000" cy="4050030"/>
                        </a:xfrm>
                        <a:prstGeom prst="rect"/>
                        <a:solidFill>
                          <a:srgbClr val="FFFFFF"/>
                        </a:solidFill>
                      </wps:spPr>
                      <wps:txbx>
                        <w:txbxContent>
                          <w:p>
                            <w:pPr>
                              <w:pStyle w:val="TextBody"/>
                              <w:bidi w:val="0"/>
                              <w:spacing w:before="0" w:after="160"/>
                              <w:ind w:left="0" w:right="0" w:hanging="0"/>
                              <w:jc w:val="left"/>
                              <w:rPr>
                                <w:rFonts w:ascii="Arial;Helvetica;Sans-Serif" w:hAnsi="Arial;Helvetica;Sans-Serif"/>
                                <w:b/>
                                <w:color w:val="004C97"/>
                                <w:sz w:val="22"/>
                              </w:rPr>
                            </w:pPr>
                            <w:r>
                              <w:rPr>
                                <w:rFonts w:ascii="Arial;Helvetica;Sans-Serif" w:hAnsi="Arial;Helvetica;Sans-Serif"/>
                                <w:b/>
                                <w:color w:val="004C97"/>
                                <w:sz w:val="22"/>
                              </w:rPr>
                              <w:t>Second Quarter 2026 Highlights</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sz w:val="22"/>
                                    </w:rPr>
                                  </w:pPr>
                                  <w:r>
                                    <w:rPr>
                                      <w:rFonts w:ascii="Symbol" w:hAnsi="Symbol"/>
                                      <w:sz w:val="22"/>
                                    </w:rPr>
                                    <w:t>·</w:t>
                                  </w:r>
                                </w:p>
                              </w:tc>
                              <w:tc>
                                <w:tcPr>
                                  <w:tcW w:w="10065"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Non-GAAP operating earnings per diluted share, excluding significant variances</w:t>
                                  </w:r>
                                  <w:r>
                                    <w:rPr>
                                      <w:rFonts w:ascii="Arial;Helvetica;Sans-Serif" w:hAnsi="Arial;Helvetica;Sans-Serif"/>
                                      <w:position w:val="7"/>
                                      <w:sz w:val="18"/>
                                      <w:sz w:val="22"/>
                                    </w:rPr>
                                    <w:t>2</w:t>
                                  </w:r>
                                  <w:r>
                                    <w:rPr>
                                      <w:rFonts w:ascii="Arial;Helvetica;Sans-Serif" w:hAnsi="Arial;Helvetica;Sans-Serif"/>
                                      <w:sz w:val="22"/>
                                    </w:rPr>
                                    <w:t xml:space="preserve"> of $2.42 increased 17% over prior year quarter; reported non-GAAP operating earnings per diluted share increased 16%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sz w:val="22"/>
                                    </w:rPr>
                                  </w:pPr>
                                  <w:r>
                                    <w:rPr>
                                      <w:rFonts w:ascii="Symbol" w:hAnsi="Symbol"/>
                                      <w:sz w:val="22"/>
                                    </w:rPr>
                                    <w:t>·</w:t>
                                  </w:r>
                                </w:p>
                              </w:tc>
                              <w:tc>
                                <w:tcPr>
                                  <w:tcW w:w="10065"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Returned $427 million of capital to shareholders, including $250 million of share repurchases and $177 million of common stock dividends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sz w:val="22"/>
                                    </w:rPr>
                                  </w:pPr>
                                  <w:r>
                                    <w:rPr>
                                      <w:rFonts w:ascii="Symbol" w:hAnsi="Symbol"/>
                                      <w:sz w:val="22"/>
                                    </w:rPr>
                                    <w:t>·</w:t>
                                  </w:r>
                                </w:p>
                              </w:tc>
                              <w:tc>
                                <w:tcPr>
                                  <w:tcW w:w="10065"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Announced common stock dividend increase of $0.02 to $0.84 per share in the third quarter 2026; representing an 8% increase over the third quarter 2025 dividend and on a trailing twelve-month basis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sz w:val="22"/>
                                    </w:rPr>
                                  </w:pPr>
                                  <w:r>
                                    <w:rPr>
                                      <w:rFonts w:ascii="Symbol" w:hAnsi="Symbol"/>
                                      <w:sz w:val="22"/>
                                    </w:rPr>
                                    <w:t>·</w:t>
                                  </w:r>
                                </w:p>
                              </w:tc>
                              <w:tc>
                                <w:tcPr>
                                  <w:tcW w:w="10065"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Assets under management (AUM) of $808 billion, which is included in assets under administration (AUA) of $1.9 trillion</w:t>
                                  </w:r>
                                </w:p>
                              </w:tc>
                            </w:tr>
                          </w:tbl>
                          <w:p>
                            <w:pPr>
                              <w:pStyle w:val="TextBody"/>
                              <w:bidi w:val="0"/>
                              <w:spacing w:before="0" w:after="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140"/>
                              <w:gridCol w:w="6920"/>
                            </w:tblGrid>
                            <w:tr>
                              <w:trPr/>
                              <w:tc>
                                <w:tcPr>
                                  <w:tcW w:w="140" w:type="dxa"/>
                                  <w:tcBorders/>
                                  <w:vAlign w:val="center"/>
                                </w:tcPr>
                                <w:p>
                                  <w:pPr>
                                    <w:pStyle w:val="TableContents"/>
                                    <w:bidi w:val="0"/>
                                    <w:spacing w:before="0" w:after="283"/>
                                    <w:jc w:val="left"/>
                                    <w:rPr>
                                      <w:rFonts w:ascii="Symbol" w:hAnsi="Symbol"/>
                                      <w:sz w:val="22"/>
                                    </w:rPr>
                                  </w:pPr>
                                  <w:r>
                                    <w:rPr>
                                      <w:rFonts w:ascii="Symbol" w:hAnsi="Symbol"/>
                                      <w:sz w:val="22"/>
                                    </w:rPr>
                                    <w:t>·</w:t>
                                  </w:r>
                                </w:p>
                              </w:tc>
                              <w:tc>
                                <w:tcPr>
                                  <w:tcW w:w="692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Strong financial position with $1.6 billion of excess and available capital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18.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60"/>
                        <w:ind w:left="0" w:right="0" w:hanging="0"/>
                        <w:jc w:val="left"/>
                        <w:rPr>
                          <w:rFonts w:ascii="Arial;Helvetica;Sans-Serif" w:hAnsi="Arial;Helvetica;Sans-Serif"/>
                          <w:b/>
                          <w:color w:val="004C97"/>
                          <w:sz w:val="22"/>
                        </w:rPr>
                      </w:pPr>
                      <w:r>
                        <w:rPr>
                          <w:rFonts w:ascii="Arial;Helvetica;Sans-Serif" w:hAnsi="Arial;Helvetica;Sans-Serif"/>
                          <w:b/>
                          <w:color w:val="004C97"/>
                          <w:sz w:val="22"/>
                        </w:rPr>
                        <w:t>Second Quarter 2026 Highlights</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sz w:val="22"/>
                              </w:rPr>
                            </w:pPr>
                            <w:r>
                              <w:rPr>
                                <w:rFonts w:ascii="Symbol" w:hAnsi="Symbol"/>
                                <w:sz w:val="22"/>
                              </w:rPr>
                              <w:t>·</w:t>
                            </w:r>
                          </w:p>
                        </w:tc>
                        <w:tc>
                          <w:tcPr>
                            <w:tcW w:w="10065"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Non-GAAP operating earnings per diluted share, excluding significant variances</w:t>
                            </w:r>
                            <w:r>
                              <w:rPr>
                                <w:rFonts w:ascii="Arial;Helvetica;Sans-Serif" w:hAnsi="Arial;Helvetica;Sans-Serif"/>
                                <w:position w:val="7"/>
                                <w:sz w:val="18"/>
                                <w:sz w:val="22"/>
                              </w:rPr>
                              <w:t>2</w:t>
                            </w:r>
                            <w:r>
                              <w:rPr>
                                <w:rFonts w:ascii="Arial;Helvetica;Sans-Serif" w:hAnsi="Arial;Helvetica;Sans-Serif"/>
                                <w:sz w:val="22"/>
                              </w:rPr>
                              <w:t xml:space="preserve"> of $2.42 increased 17% over prior year quarter; reported non-GAAP operating earnings per diluted share increased 16%</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sz w:val="22"/>
                              </w:rPr>
                            </w:pPr>
                            <w:r>
                              <w:rPr>
                                <w:rFonts w:ascii="Symbol" w:hAnsi="Symbol"/>
                                <w:sz w:val="22"/>
                              </w:rPr>
                              <w:t>·</w:t>
                            </w:r>
                          </w:p>
                        </w:tc>
                        <w:tc>
                          <w:tcPr>
                            <w:tcW w:w="10065"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Returned $427 million of capital to shareholders, including $250 million of share repurchases and $177 million of common stock dividends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sz w:val="22"/>
                              </w:rPr>
                            </w:pPr>
                            <w:r>
                              <w:rPr>
                                <w:rFonts w:ascii="Symbol" w:hAnsi="Symbol"/>
                                <w:sz w:val="22"/>
                              </w:rPr>
                              <w:t>·</w:t>
                            </w:r>
                          </w:p>
                        </w:tc>
                        <w:tc>
                          <w:tcPr>
                            <w:tcW w:w="10065"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Announced common stock dividend increase of $0.02 to $0.84 per share in the third quarter 2026; representing an 8% increase over the third quarter 2025 dividend and on a trailing twelve-month basis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rFonts w:ascii="Symbol" w:hAnsi="Symbol"/>
                                <w:sz w:val="22"/>
                              </w:rPr>
                            </w:pPr>
                            <w:r>
                              <w:rPr>
                                <w:rFonts w:ascii="Symbol" w:hAnsi="Symbol"/>
                                <w:sz w:val="22"/>
                              </w:rPr>
                              <w:t>·</w:t>
                            </w:r>
                          </w:p>
                        </w:tc>
                        <w:tc>
                          <w:tcPr>
                            <w:tcW w:w="10065"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Assets under management (AUM) of $808 billion, which is included in assets under administration (AUA) of $1.9 trillion</w:t>
                            </w:r>
                          </w:p>
                        </w:tc>
                      </w:tr>
                    </w:tbl>
                    <w:p>
                      <w:pPr>
                        <w:pStyle w:val="TextBody"/>
                        <w:bidi w:val="0"/>
                        <w:spacing w:before="0" w:after="0"/>
                        <w:jc w:val="left"/>
                        <w:rPr>
                          <w:caps w:val="false"/>
                          <w:smallCaps w:val="false"/>
                        </w:rPr>
                      </w:pPr>
                      <w:r>
                        <w:rPr>
                          <w:caps w:val="false"/>
                          <w:smallCaps w:val="false"/>
                        </w:rPr>
                        <w:t> </w:t>
                      </w:r>
                    </w:p>
                    <w:tbl>
                      <w:tblPr>
                        <w:tblW w:w="7060" w:type="dxa"/>
                        <w:jc w:val="left"/>
                        <w:tblInd w:w="0" w:type="dxa"/>
                        <w:tblLayout w:type="fixed"/>
                        <w:tblCellMar>
                          <w:top w:w="0" w:type="dxa"/>
                          <w:left w:w="0" w:type="dxa"/>
                          <w:bottom w:w="0" w:type="dxa"/>
                          <w:right w:w="0" w:type="dxa"/>
                        </w:tblCellMar>
                      </w:tblPr>
                      <w:tblGrid>
                        <w:gridCol w:w="140"/>
                        <w:gridCol w:w="6920"/>
                      </w:tblGrid>
                      <w:tr>
                        <w:trPr/>
                        <w:tc>
                          <w:tcPr>
                            <w:tcW w:w="140" w:type="dxa"/>
                            <w:tcBorders/>
                            <w:vAlign w:val="center"/>
                          </w:tcPr>
                          <w:p>
                            <w:pPr>
                              <w:pStyle w:val="TableContents"/>
                              <w:bidi w:val="0"/>
                              <w:spacing w:before="0" w:after="283"/>
                              <w:jc w:val="left"/>
                              <w:rPr>
                                <w:rFonts w:ascii="Symbol" w:hAnsi="Symbol"/>
                                <w:sz w:val="22"/>
                              </w:rPr>
                            </w:pPr>
                            <w:r>
                              <w:rPr>
                                <w:rFonts w:ascii="Symbol" w:hAnsi="Symbol"/>
                                <w:sz w:val="22"/>
                              </w:rPr>
                              <w:t>·</w:t>
                            </w:r>
                          </w:p>
                        </w:tc>
                        <w:tc>
                          <w:tcPr>
                            <w:tcW w:w="692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Strong financial position with $1.6 billion of excess and available capital</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xbxContent>
                </v:textbox>
                <w10:wrap type="square" side="right"/>
              </v:rect>
            </w:pict>
          </mc:Fallback>
        </mc:AlternateContent>
      </w:r>
    </w:p>
    <w:p>
      <w:pPr>
        <w:pStyle w:val="TextBody"/>
        <w:bidi w:val="0"/>
        <w:spacing w:before="0" w:after="0"/>
        <w:ind w:left="0" w:right="0" w:hanging="0"/>
        <w:jc w:val="left"/>
        <w:rPr>
          <w:caps w:val="false"/>
          <w:smallCaps w:val="false"/>
          <w:color w:val="000000"/>
          <w:position w:val="8"/>
          <w:sz w:val="19"/>
        </w:rPr>
      </w:pPr>
      <w:r>
        <w:rPr>
          <w:caps w:val="false"/>
          <w:smallCaps w:val="false"/>
          <w:color w:val="000000"/>
          <w:position w:val="8"/>
          <w:sz w:val="19"/>
        </w:rPr>
        <w:t> </w:t>
      </w:r>
      <w:r>
        <mc:AlternateContent>
          <mc:Choice Requires="wps">
            <w:drawing>
              <wp:anchor behindDoc="0" distT="0" distB="0" distL="0" distR="0" simplePos="0" locked="0" layoutInCell="1" allowOverlap="1" relativeHeight="4">
                <wp:simplePos x="0" y="0"/>
                <wp:positionH relativeFrom="column">
                  <wp:align>right</wp:align>
                </wp:positionH>
                <wp:positionV relativeFrom="line">
                  <wp:posOffset>635</wp:posOffset>
                </wp:positionV>
                <wp:extent cx="3175000" cy="3726815"/>
                <wp:effectExtent l="0" t="0" r="0" b="0"/>
                <wp:wrapSquare wrapText="left"/>
                <wp:docPr id="3" name="Frame2"/>
                <a:graphic xmlns:a="http://schemas.openxmlformats.org/drawingml/2006/main">
                  <a:graphicData uri="http://schemas.microsoft.com/office/word/2010/wordprocessingShape">
                    <wps:wsp>
                      <wps:cNvSpPr txBox="1"/>
                      <wps:spPr>
                        <a:xfrm>
                          <a:off x="0" y="0"/>
                          <a:ext cx="3175000" cy="3726815"/>
                        </a:xfrm>
                        <a:prstGeom prst="rect"/>
                        <a:solidFill>
                          <a:srgbClr val="FFFFFF"/>
                        </a:solidFill>
                      </wps:spPr>
                      <wps:txbx>
                        <w:txbxContent>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10205"/>
                            </w:tblGrid>
                            <w:tr>
                              <w:trPr/>
                              <w:tc>
                                <w:tcPr>
                                  <w:tcW w:w="10205" w:type="dxa"/>
                                  <w:tcBorders>
                                    <w:top w:val="single" w:sz="24" w:space="0" w:color="000000"/>
                                  </w:tcBorders>
                                  <w:vAlign w:val="center"/>
                                </w:tcPr>
                                <w:p>
                                  <w:pPr>
                                    <w:pStyle w:val="TableContents"/>
                                    <w:bidi w:val="0"/>
                                    <w:spacing w:before="0" w:after="283"/>
                                    <w:jc w:val="left"/>
                                    <w:rPr/>
                                  </w:pPr>
                                  <w:r>
                                    <w:rPr/>
                                    <w:t> </w:t>
                                  </w:r>
                                </w:p>
                              </w:tc>
                            </w:tr>
                            <w:tr>
                              <w:trPr/>
                              <w:tc>
                                <w:tcPr>
                                  <w:tcW w:w="10205" w:type="dxa"/>
                                  <w:tcBorders>
                                    <w:bottom w:val="single" w:sz="24" w:space="0" w:color="000000"/>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004C97"/>
                                      <w:sz w:val="20"/>
                                    </w:rPr>
                                  </w:pPr>
                                  <w:r>
                                    <w:rPr>
                                      <w:rFonts w:ascii="Arial;Helvetica;Sans-Serif" w:hAnsi="Arial;Helvetica;Sans-Serif"/>
                                      <w:b/>
                                      <w:i w:val="false"/>
                                      <w:caps w:val="false"/>
                                      <w:smallCaps w:val="false"/>
                                      <w:color w:val="004C97"/>
                                      <w:sz w:val="20"/>
                                    </w:rPr>
                                    <w:t>Deanna Strable, Chair, President and CEO of Principal</w:t>
                                  </w:r>
                                  <w:r>
                                    <w:rPr>
                                      <w:rFonts w:ascii="Arial;Helvetica;Sans-Serif" w:hAnsi="Arial;Helvetica;Sans-Serif"/>
                                      <w:b/>
                                      <w:i w:val="false"/>
                                      <w:caps w:val="false"/>
                                      <w:smallCaps w:val="false"/>
                                      <w:color w:val="004C97"/>
                                      <w:position w:val="7"/>
                                      <w:sz w:val="16"/>
                                      <w:sz w:val="20"/>
                                    </w:rPr>
                                    <w:t>®</w:t>
                                  </w:r>
                                </w:p>
                                <w:p>
                                  <w:pPr>
                                    <w:pStyle w:val="TableContents"/>
                                    <w:bidi w:val="0"/>
                                    <w:spacing w:before="0" w:after="0"/>
                                    <w:ind w:left="0" w:right="0" w:hanging="0"/>
                                    <w:jc w:val="both"/>
                                    <w:rPr>
                                      <w:caps w:val="false"/>
                                      <w:smallCaps w:val="false"/>
                                      <w:color w:val="FF0000"/>
                                    </w:rPr>
                                  </w:pPr>
                                  <w:r>
                                    <w:rPr>
                                      <w:caps w:val="false"/>
                                      <w:smallCaps w:val="false"/>
                                      <w:color w:val="FF0000"/>
                                    </w:rPr>
                                    <w:t> </w:t>
                                  </w:r>
                                </w:p>
                                <w:p>
                                  <w:pPr>
                                    <w:pStyle w:val="TableContents"/>
                                    <w:bidi w:val="0"/>
                                    <w:spacing w:before="60" w:after="0"/>
                                    <w:ind w:left="60" w:right="60" w:hanging="0"/>
                                    <w:jc w:val="left"/>
                                    <w:rPr>
                                      <w:caps w:val="false"/>
                                      <w:smallCaps w:val="false"/>
                                    </w:rPr>
                                  </w:pPr>
                                  <w:r>
                                    <w:rPr>
                                      <w:caps w:val="false"/>
                                      <w:smallCaps w:val="false"/>
                                    </w:rPr>
                                    <w:t>“</w:t>
                                  </w:r>
                                  <w:r>
                                    <w:rPr>
                                      <w:rFonts w:ascii="Arial;Helvetica;Sans-Serif" w:hAnsi="Arial;Helvetica;Sans-Serif"/>
                                      <w:b w:val="false"/>
                                      <w:i w:val="false"/>
                                      <w:caps w:val="false"/>
                                      <w:smallCaps w:val="false"/>
                                      <w:sz w:val="22"/>
                                    </w:rPr>
                                    <w:t>Our second quarter results reflect continued execution against our strategic priorities and growth across the enterprise. We strengthened our leadership in retirement, advanced our position in the small and midsized business market, and continued to leverage the scale of our global asset management platform. This execution translated into strong earnings growth, ROE expansion and disciplined capital return.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I'm proud of what our teams accomplished this quarter and encouraged by the momentum we continue to build. This, along with the commitment of our employees, gives me confidence in our ability to continue creating value for customers and shareholders.”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color w:val="004C97"/>
                              </w:rPr>
                            </w:pPr>
                            <w:r>
                              <w:rPr>
                                <w:caps w:val="false"/>
                                <w:smallCaps w:val="false"/>
                                <w:color w:val="004C97"/>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93.45pt;mso-wrap-distance-left:0pt;mso-wrap-distance-right:0pt;mso-wrap-distance-top:0pt;mso-wrap-distance-bottom:0pt;margin-top:0pt;mso-position-vertical:top;mso-position-vertical-relative:text;margin-left:260.25pt;mso-position-horizontal:right;mso-position-horizontal-relative:text">
                <v:textbox>
                  <w:txbxContent>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28" w:type="dxa"/>
                          <w:left w:w="0" w:type="dxa"/>
                          <w:bottom w:w="0" w:type="dxa"/>
                          <w:right w:w="0" w:type="dxa"/>
                        </w:tblCellMar>
                      </w:tblPr>
                      <w:tblGrid>
                        <w:gridCol w:w="10205"/>
                      </w:tblGrid>
                      <w:tr>
                        <w:trPr/>
                        <w:tc>
                          <w:tcPr>
                            <w:tcW w:w="10205" w:type="dxa"/>
                            <w:tcBorders>
                              <w:top w:val="single" w:sz="24" w:space="0" w:color="000000"/>
                            </w:tcBorders>
                            <w:vAlign w:val="center"/>
                          </w:tcPr>
                          <w:p>
                            <w:pPr>
                              <w:pStyle w:val="TableContents"/>
                              <w:bidi w:val="0"/>
                              <w:spacing w:before="0" w:after="283"/>
                              <w:jc w:val="left"/>
                              <w:rPr/>
                            </w:pPr>
                            <w:r>
                              <w:rPr/>
                              <w:t> </w:t>
                            </w:r>
                          </w:p>
                        </w:tc>
                      </w:tr>
                      <w:tr>
                        <w:trPr/>
                        <w:tc>
                          <w:tcPr>
                            <w:tcW w:w="10205" w:type="dxa"/>
                            <w:tcBorders>
                              <w:bottom w:val="single" w:sz="24" w:space="0" w:color="000000"/>
                            </w:tcBorders>
                            <w:tcMar>
                              <w:top w:w="0" w:type="dxa"/>
                              <w:bottom w:w="28" w:type="dxa"/>
                            </w:tcMar>
                            <w:vAlign w:val="center"/>
                          </w:tcPr>
                          <w:p>
                            <w:pPr>
                              <w:pStyle w:val="TableContents"/>
                              <w:bidi w:val="0"/>
                              <w:spacing w:before="0" w:after="0"/>
                              <w:ind w:left="0" w:right="0" w:hanging="0"/>
                              <w:jc w:val="left"/>
                              <w:rPr>
                                <w:rFonts w:ascii="Arial;Helvetica;Sans-Serif" w:hAnsi="Arial;Helvetica;Sans-Serif"/>
                                <w:b/>
                                <w:i w:val="false"/>
                                <w:caps w:val="false"/>
                                <w:smallCaps w:val="false"/>
                                <w:color w:val="004C97"/>
                                <w:sz w:val="20"/>
                              </w:rPr>
                            </w:pPr>
                            <w:r>
                              <w:rPr>
                                <w:rFonts w:ascii="Arial;Helvetica;Sans-Serif" w:hAnsi="Arial;Helvetica;Sans-Serif"/>
                                <w:b/>
                                <w:i w:val="false"/>
                                <w:caps w:val="false"/>
                                <w:smallCaps w:val="false"/>
                                <w:color w:val="004C97"/>
                                <w:sz w:val="20"/>
                              </w:rPr>
                              <w:t>Deanna Strable, Chair, President and CEO of Principal</w:t>
                            </w:r>
                            <w:r>
                              <w:rPr>
                                <w:rFonts w:ascii="Arial;Helvetica;Sans-Serif" w:hAnsi="Arial;Helvetica;Sans-Serif"/>
                                <w:b/>
                                <w:i w:val="false"/>
                                <w:caps w:val="false"/>
                                <w:smallCaps w:val="false"/>
                                <w:color w:val="004C97"/>
                                <w:position w:val="7"/>
                                <w:sz w:val="16"/>
                                <w:sz w:val="20"/>
                              </w:rPr>
                              <w:t>®</w:t>
                            </w:r>
                          </w:p>
                          <w:p>
                            <w:pPr>
                              <w:pStyle w:val="TableContents"/>
                              <w:bidi w:val="0"/>
                              <w:spacing w:before="0" w:after="0"/>
                              <w:ind w:left="0" w:right="0" w:hanging="0"/>
                              <w:jc w:val="both"/>
                              <w:rPr>
                                <w:caps w:val="false"/>
                                <w:smallCaps w:val="false"/>
                                <w:color w:val="FF0000"/>
                              </w:rPr>
                            </w:pPr>
                            <w:r>
                              <w:rPr>
                                <w:caps w:val="false"/>
                                <w:smallCaps w:val="false"/>
                                <w:color w:val="FF0000"/>
                              </w:rPr>
                              <w:t> </w:t>
                            </w:r>
                          </w:p>
                          <w:p>
                            <w:pPr>
                              <w:pStyle w:val="TableContents"/>
                              <w:bidi w:val="0"/>
                              <w:spacing w:before="60" w:after="0"/>
                              <w:ind w:left="60" w:right="60" w:hanging="0"/>
                              <w:jc w:val="left"/>
                              <w:rPr>
                                <w:caps w:val="false"/>
                                <w:smallCaps w:val="false"/>
                              </w:rPr>
                            </w:pPr>
                            <w:r>
                              <w:rPr>
                                <w:caps w:val="false"/>
                                <w:smallCaps w:val="false"/>
                              </w:rPr>
                              <w:t>“</w:t>
                            </w:r>
                            <w:r>
                              <w:rPr>
                                <w:rFonts w:ascii="Arial;Helvetica;Sans-Serif" w:hAnsi="Arial;Helvetica;Sans-Serif"/>
                                <w:b w:val="false"/>
                                <w:i w:val="false"/>
                                <w:caps w:val="false"/>
                                <w:smallCaps w:val="false"/>
                                <w:sz w:val="22"/>
                              </w:rPr>
                              <w:t>Our second quarter results reflect continued execution against our strategic priorities and growth across the enterprise. We strengthened our leadership in retirement, advanced our position in the small and midsized business market, and continued to leverage the scale of our global asset management platform. This execution translated into strong earnings growth, ROE expansion and disciplined capital return.</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I'm proud of what our teams accomplished this quarter and encouraged by the momentum we continue to build. This, along with the commitment of our employees, gives me confidence in our ability to continue creating value for customers and shareholders.”</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color w:val="004C97"/>
                        </w:rPr>
                      </w:pPr>
                      <w:r>
                        <w:rPr>
                          <w:caps w:val="false"/>
                          <w:smallCaps w:val="false"/>
                          <w:color w:val="004C97"/>
                        </w:rPr>
                        <w:t> </w:t>
                      </w:r>
                    </w:p>
                  </w:txbxContent>
                </v:textbox>
                <w10:wrap type="square" side="left"/>
              </v:rect>
            </w:pict>
          </mc:Fallback>
        </mc:AlternateConten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position w:val="5"/>
          <w:sz w:val="13"/>
          <w:sz w:val="16"/>
        </w:rPr>
        <w:t>1</w:t>
      </w:r>
      <w:r>
        <w:rPr>
          <w:rFonts w:ascii="Arial;Helvetica;Sans-Serif" w:hAnsi="Arial;Helvetica;Sans-Serif"/>
          <w:b w:val="false"/>
          <w:i w:val="false"/>
          <w:caps w:val="false"/>
          <w:smallCaps w:val="false"/>
          <w:color w:val="000000"/>
          <w:sz w:val="16"/>
        </w:rPr>
        <w:t xml:space="preserve"> Use of non-GAAP financial measures and their reconciliations to the most directly comparable GAAP measures are included in this release. Non-GAAP operating earnings for total company is after tax.</w:t>
      </w:r>
    </w:p>
    <w:p>
      <w:pPr>
        <w:pStyle w:val="TextBody"/>
        <w:bidi w:val="0"/>
        <w:spacing w:before="0" w:after="0"/>
        <w:ind w:left="0" w:right="0" w:hanging="0"/>
        <w:jc w:val="left"/>
        <w:rPr>
          <w:rFonts w:ascii="Arial;Helvetica;Sans-Serif" w:hAnsi="Arial;Helvetica;Sans-Serif"/>
          <w:b w:val="false"/>
          <w:i w:val="false"/>
          <w:caps w:val="false"/>
          <w:smallCaps w:val="false"/>
          <w:color w:val="000000"/>
          <w:sz w:val="16"/>
        </w:rPr>
      </w:pPr>
      <w:r>
        <w:rPr>
          <w:rFonts w:ascii="Arial;Helvetica;Sans-Serif" w:hAnsi="Arial;Helvetica;Sans-Serif"/>
          <w:b w:val="false"/>
          <w:i w:val="false"/>
          <w:caps w:val="false"/>
          <w:smallCaps w:val="false"/>
          <w:color w:val="000000"/>
          <w:position w:val="5"/>
          <w:sz w:val="13"/>
          <w:sz w:val="16"/>
        </w:rPr>
        <w:t>2</w:t>
      </w:r>
      <w:r>
        <w:rPr>
          <w:rFonts w:ascii="Arial;Helvetica;Sans-Serif" w:hAnsi="Arial;Helvetica;Sans-Serif"/>
          <w:b w:val="false"/>
          <w:i w:val="false"/>
          <w:caps w:val="false"/>
          <w:smallCaps w:val="false"/>
          <w:color w:val="000000"/>
          <w:sz w:val="16"/>
        </w:rPr>
        <w:t xml:space="preserve"> The total company impacts of significant variances is after tax. See Exhibit 1 for details on the impact of 2Q 2026 and 2Q 2025 significant variances on net income attributable to PFG; non-GAAP net income attributable to PFG, excluding exited business; and non-GAAP operating earnings.</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4C97"/>
        </w:rPr>
      </w:pPr>
      <w:r>
        <w:rPr>
          <w:caps w:val="false"/>
          <w:smallCaps w:val="false"/>
          <w:color w:val="004C97"/>
        </w:rPr>
        <w:t> </w:t>
      </w:r>
    </w:p>
    <w:p>
      <w:pPr>
        <w:pStyle w:val="TextBody"/>
        <w:bidi w:val="0"/>
        <w:spacing w:before="0" w:after="0"/>
        <w:ind w:left="0" w:right="0" w:hanging="0"/>
        <w:jc w:val="left"/>
        <w:rPr>
          <w:rFonts w:ascii="Arial;Helvetica;Sans-Serif" w:hAnsi="Arial;Helvetica;Sans-Serif"/>
          <w:b/>
          <w:i w:val="false"/>
          <w:caps w:val="false"/>
          <w:smallCaps w:val="false"/>
          <w:color w:val="004C97"/>
          <w:sz w:val="22"/>
        </w:rPr>
      </w:pPr>
      <w:r>
        <w:rPr>
          <w:rFonts w:ascii="Arial;Helvetica;Sans-Serif" w:hAnsi="Arial;Helvetica;Sans-Serif"/>
          <w:b/>
          <w:i w:val="false"/>
          <w:caps w:val="false"/>
          <w:smallCaps w:val="false"/>
          <w:color w:val="004C97"/>
          <w:sz w:val="22"/>
        </w:rPr>
        <w:t>Second Quarter Enterprise Results</w:t>
      </w:r>
    </w:p>
    <w:p>
      <w:pPr>
        <w:pStyle w:val="TextBody"/>
        <w:bidi w:val="0"/>
        <w:spacing w:before="0" w:after="0"/>
        <w:ind w:left="0" w:right="0" w:hanging="0"/>
        <w:jc w:val="left"/>
        <w:rPr>
          <w:caps w:val="false"/>
          <w:smallCaps w:val="false"/>
          <w:color w:val="004C97"/>
        </w:rPr>
      </w:pPr>
      <w:r>
        <w:rPr>
          <w:caps w:val="false"/>
          <w:smallCaps w:val="false"/>
          <w:color w:val="004C97"/>
        </w:rPr>
        <w:t> </w:t>
      </w:r>
    </w:p>
    <w:p>
      <w:pPr>
        <w:pStyle w:val="TextBody"/>
        <w:bidi w:val="0"/>
        <w:spacing w:before="0" w:after="0"/>
        <w:ind w:left="0" w:right="0" w:hanging="0"/>
        <w:jc w:val="left"/>
        <w:rPr>
          <w:rFonts w:ascii="Arial;Helvetica;Sans-Serif" w:hAnsi="Arial;Helvetica;Sans-Serif"/>
          <w:b w:val="false"/>
          <w:i w:val="false"/>
          <w:caps w:val="false"/>
          <w:smallCaps w:val="false"/>
          <w:color w:val="004C97"/>
          <w:sz w:val="16"/>
        </w:rPr>
      </w:pPr>
      <w:r>
        <w:rPr>
          <w:rFonts w:ascii="Arial;Helvetica;Sans-Serif" w:hAnsi="Arial;Helvetica;Sans-Serif"/>
          <w:b w:val="false"/>
          <w:i w:val="false"/>
          <w:caps w:val="false"/>
          <w:smallCaps w:val="false"/>
          <w:color w:val="004C97"/>
          <w:sz w:val="16"/>
        </w:rPr>
        <w:t>In millions except percentages, earnings per share, or otherwise noted</w:t>
      </w:r>
    </w:p>
    <w:p>
      <w:pPr>
        <w:pStyle w:val="TextBody"/>
        <w:bidi w:val="0"/>
        <w:spacing w:before="0" w:after="0"/>
        <w:ind w:left="0" w:right="0" w:hanging="0"/>
        <w:jc w:val="left"/>
        <w:rPr>
          <w:caps w:val="false"/>
          <w:smallCaps w:val="false"/>
          <w:color w:val="004C97"/>
        </w:rPr>
      </w:pPr>
      <w:r>
        <w:rPr>
          <w:caps w:val="false"/>
          <w:smallCaps w:val="false"/>
          <w:color w:val="004C97"/>
        </w:rPr>
        <w:t> </w:t>
      </w:r>
    </w:p>
    <w:tbl>
      <w:tblPr>
        <w:tblW w:w="10205" w:type="dxa"/>
        <w:jc w:val="left"/>
        <w:tblInd w:w="0" w:type="dxa"/>
        <w:tblLayout w:type="fixed"/>
        <w:tblCellMar>
          <w:top w:w="0" w:type="dxa"/>
          <w:left w:w="0" w:type="dxa"/>
          <w:bottom w:w="0" w:type="dxa"/>
          <w:right w:w="0" w:type="dxa"/>
        </w:tblCellMar>
      </w:tblPr>
      <w:tblGrid>
        <w:gridCol w:w="5630"/>
        <w:gridCol w:w="770"/>
        <w:gridCol w:w="770"/>
        <w:gridCol w:w="680"/>
        <w:gridCol w:w="770"/>
        <w:gridCol w:w="770"/>
        <w:gridCol w:w="740"/>
        <w:gridCol w:w="75"/>
      </w:tblGrid>
      <w:tr>
        <w:trPr/>
        <w:tc>
          <w:tcPr>
            <w:tcW w:w="5630" w:type="dxa"/>
            <w:vMerge w:val="restart"/>
            <w:tcBorders/>
            <w:shd w:fill="004C97" w:val="clear"/>
            <w:vAlign w:val="center"/>
          </w:tcPr>
          <w:p>
            <w:pPr>
              <w:pStyle w:val="TableContents"/>
              <w:bidi w:val="0"/>
              <w:spacing w:before="0" w:after="283"/>
              <w:ind w:left="0" w:right="0" w:hanging="180"/>
              <w:jc w:val="left"/>
              <w:rPr/>
            </w:pPr>
            <w:r>
              <w:rPr/>
              <w:t> </w:t>
            </w:r>
          </w:p>
        </w:tc>
        <w:tc>
          <w:tcPr>
            <w:tcW w:w="2220" w:type="dxa"/>
            <w:gridSpan w:val="3"/>
            <w:tcBorders/>
            <w:shd w:fill="004C97"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Three Months Ended,</w:t>
            </w:r>
          </w:p>
        </w:tc>
        <w:tc>
          <w:tcPr>
            <w:tcW w:w="2280" w:type="dxa"/>
            <w:gridSpan w:val="3"/>
            <w:tcBorders/>
            <w:shd w:fill="004C97"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Trailing Twelve Months,</w:t>
            </w:r>
          </w:p>
        </w:tc>
        <w:tc>
          <w:tcPr>
            <w:tcW w:w="75" w:type="dxa"/>
            <w:tcBorders/>
            <w:vAlign w:val="center"/>
          </w:tcPr>
          <w:p>
            <w:pPr>
              <w:pStyle w:val="TableContents"/>
              <w:bidi w:val="0"/>
              <w:spacing w:before="0" w:after="283"/>
              <w:jc w:val="left"/>
              <w:rPr/>
            </w:pPr>
            <w:r>
              <w:rPr/>
              <w:t> </w:t>
            </w:r>
          </w:p>
        </w:tc>
      </w:tr>
      <w:tr>
        <w:trPr/>
        <w:tc>
          <w:tcPr>
            <w:tcW w:w="5630" w:type="dxa"/>
            <w:vMerge w:val="continue"/>
            <w:tcBorders/>
            <w:shd w:fill="004C97" w:val="clear"/>
            <w:vAlign w:val="center"/>
          </w:tcPr>
          <w:p>
            <w:pPr>
              <w:pStyle w:val="Normal"/>
              <w:bidi w:val="0"/>
              <w:jc w:val="left"/>
              <w:rPr/>
            </w:pPr>
            <w:r>
              <w:rPr/>
            </w:r>
          </w:p>
        </w:tc>
        <w:tc>
          <w:tcPr>
            <w:tcW w:w="770" w:type="dxa"/>
            <w:tcBorders/>
            <w:shd w:fill="004C97"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2Q26</w:t>
            </w:r>
          </w:p>
        </w:tc>
        <w:tc>
          <w:tcPr>
            <w:tcW w:w="770" w:type="dxa"/>
            <w:tcBorders/>
            <w:shd w:fill="004C97"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2Q25</w:t>
            </w:r>
          </w:p>
        </w:tc>
        <w:tc>
          <w:tcPr>
            <w:tcW w:w="680" w:type="dxa"/>
            <w:tcBorders/>
            <w:shd w:fill="004C97"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Change</w:t>
            </w:r>
          </w:p>
        </w:tc>
        <w:tc>
          <w:tcPr>
            <w:tcW w:w="770" w:type="dxa"/>
            <w:tcBorders/>
            <w:shd w:fill="004C97"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2Q26</w:t>
            </w:r>
          </w:p>
        </w:tc>
        <w:tc>
          <w:tcPr>
            <w:tcW w:w="770" w:type="dxa"/>
            <w:tcBorders/>
            <w:shd w:fill="004C97" w:val="cle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2Q25</w:t>
            </w:r>
          </w:p>
        </w:tc>
        <w:tc>
          <w:tcPr>
            <w:tcW w:w="740" w:type="dxa"/>
            <w:tcBorders/>
            <w:shd w:fill="004C97" w:val="clear"/>
            <w:vAlign w:val="center"/>
          </w:tcPr>
          <w:p>
            <w:pPr>
              <w:pStyle w:val="TableContents"/>
              <w:bidi w:val="0"/>
              <w:spacing w:before="0" w:after="283"/>
              <w:jc w:val="center"/>
              <w:rPr>
                <w:color w:val="FFFFFF"/>
              </w:rPr>
            </w:pPr>
            <w:r>
              <w:rPr>
                <w:color w:val="FFFFFF"/>
              </w:rPr>
              <w:t> </w:t>
            </w:r>
            <w:r>
              <w:rPr>
                <w:rFonts w:ascii="Arial;Helvetica;Sans-Serif" w:hAnsi="Arial;Helvetica;Sans-Serif"/>
                <w:color w:val="FFFFFF"/>
                <w:sz w:val="20"/>
              </w:rPr>
              <w:t>Change</w:t>
            </w:r>
          </w:p>
        </w:tc>
        <w:tc>
          <w:tcPr>
            <w:tcW w:w="75" w:type="dxa"/>
            <w:tcBorders/>
            <w:vAlign w:val="center"/>
          </w:tcPr>
          <w:p>
            <w:pPr>
              <w:pStyle w:val="TableContents"/>
              <w:bidi w:val="0"/>
              <w:spacing w:before="0" w:after="283"/>
              <w:ind w:left="0" w:right="0" w:hanging="180"/>
              <w:jc w:val="left"/>
              <w:rPr/>
            </w:pPr>
            <w:r>
              <w:rPr/>
              <w:t> </w:t>
            </w:r>
          </w:p>
        </w:tc>
      </w:tr>
      <w:tr>
        <w:trPr/>
        <w:tc>
          <w:tcPr>
            <w:tcW w:w="56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Net income (loss) attributable to PFG </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$403.4</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$406.2</w:t>
            </w:r>
          </w:p>
        </w:tc>
        <w:tc>
          <w:tcPr>
            <w:tcW w:w="68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$1,558.8</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$1,139.7</w:t>
            </w:r>
          </w:p>
        </w:tc>
        <w:tc>
          <w:tcPr>
            <w:tcW w:w="74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37%</w:t>
            </w:r>
          </w:p>
        </w:tc>
        <w:tc>
          <w:tcPr>
            <w:tcW w:w="75" w:type="dxa"/>
            <w:tcBorders/>
            <w:vAlign w:val="center"/>
          </w:tcPr>
          <w:p>
            <w:pPr>
              <w:pStyle w:val="TableContents"/>
              <w:bidi w:val="0"/>
              <w:spacing w:before="0" w:after="283"/>
              <w:ind w:left="0" w:right="0" w:hanging="180"/>
              <w:jc w:val="left"/>
              <w:rPr/>
            </w:pPr>
            <w:r>
              <w:rPr/>
              <w:t> </w:t>
            </w:r>
          </w:p>
        </w:tc>
      </w:tr>
      <w:tr>
        <w:trPr/>
        <w:tc>
          <w:tcPr>
            <w:tcW w:w="56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Non-GAAP net income attributable to PFG, excluding exited business</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$535.0</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$432.3</w:t>
            </w:r>
          </w:p>
        </w:tc>
        <w:tc>
          <w:tcPr>
            <w:tcW w:w="68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24%</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$1,811.0</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$1,504.3</w:t>
            </w:r>
          </w:p>
        </w:tc>
        <w:tc>
          <w:tcPr>
            <w:tcW w:w="74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20%</w:t>
            </w:r>
          </w:p>
        </w:tc>
        <w:tc>
          <w:tcPr>
            <w:tcW w:w="75" w:type="dxa"/>
            <w:tcBorders/>
            <w:vAlign w:val="center"/>
          </w:tcPr>
          <w:p>
            <w:pPr>
              <w:pStyle w:val="TableContents"/>
              <w:bidi w:val="0"/>
              <w:spacing w:before="0" w:after="283"/>
              <w:ind w:left="0" w:right="0" w:hanging="180"/>
              <w:jc w:val="left"/>
              <w:rPr/>
            </w:pPr>
            <w:r>
              <w:rPr/>
              <w:t> </w:t>
            </w:r>
          </w:p>
        </w:tc>
      </w:tr>
      <w:tr>
        <w:trPr/>
        <w:tc>
          <w:tcPr>
            <w:tcW w:w="56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Non-GAAP operating earnings</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$547.0</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$489.3</w:t>
            </w:r>
          </w:p>
        </w:tc>
        <w:tc>
          <w:tcPr>
            <w:tcW w:w="68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12%</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$1,964.8</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$1,763.9</w:t>
            </w:r>
          </w:p>
        </w:tc>
        <w:tc>
          <w:tcPr>
            <w:tcW w:w="74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11%</w:t>
            </w:r>
          </w:p>
        </w:tc>
        <w:tc>
          <w:tcPr>
            <w:tcW w:w="75" w:type="dxa"/>
            <w:tcBorders/>
            <w:vAlign w:val="center"/>
          </w:tcPr>
          <w:p>
            <w:pPr>
              <w:pStyle w:val="TableContents"/>
              <w:bidi w:val="0"/>
              <w:spacing w:before="0" w:after="283"/>
              <w:ind w:left="0" w:right="0" w:hanging="180"/>
              <w:jc w:val="left"/>
              <w:rPr/>
            </w:pPr>
            <w:r>
              <w:rPr/>
              <w:t> </w:t>
            </w:r>
          </w:p>
        </w:tc>
      </w:tr>
      <w:tr>
        <w:trPr/>
        <w:tc>
          <w:tcPr>
            <w:tcW w:w="56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Non-GAAP operating earnings, excluding significant variances</w:t>
            </w:r>
            <w:r>
              <w:rPr>
                <w:rFonts w:ascii="Arial;Helvetica;Sans-Serif" w:hAnsi="Arial;Helvetica;Sans-Serif"/>
                <w:position w:val="7"/>
                <w:sz w:val="16"/>
                <w:sz w:val="20"/>
              </w:rPr>
              <w:t>2</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$528.7</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$468.6</w:t>
            </w:r>
          </w:p>
        </w:tc>
        <w:tc>
          <w:tcPr>
            <w:tcW w:w="68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13%</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$2,029.4</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$1,872.2</w:t>
            </w:r>
          </w:p>
        </w:tc>
        <w:tc>
          <w:tcPr>
            <w:tcW w:w="74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8%</w:t>
            </w:r>
          </w:p>
        </w:tc>
        <w:tc>
          <w:tcPr>
            <w:tcW w:w="75" w:type="dxa"/>
            <w:tcBorders/>
            <w:vAlign w:val="center"/>
          </w:tcPr>
          <w:p>
            <w:pPr>
              <w:pStyle w:val="TableContents"/>
              <w:bidi w:val="0"/>
              <w:spacing w:before="0" w:after="283"/>
              <w:ind w:left="0" w:right="0" w:hanging="180"/>
              <w:jc w:val="left"/>
              <w:rPr/>
            </w:pPr>
            <w:r>
              <w:rPr/>
              <w:t> </w:t>
            </w:r>
          </w:p>
        </w:tc>
      </w:tr>
      <w:tr>
        <w:trPr/>
        <w:tc>
          <w:tcPr>
            <w:tcW w:w="563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 </w:t>
            </w:r>
          </w:p>
        </w:tc>
        <w:tc>
          <w:tcPr>
            <w:tcW w:w="770" w:type="dxa"/>
            <w:tcBorders/>
            <w:vAlign w:val="center"/>
          </w:tcPr>
          <w:p>
            <w:pPr>
              <w:pStyle w:val="TableContents"/>
              <w:bidi w:val="0"/>
              <w:spacing w:before="0" w:after="283"/>
              <w:jc w:val="center"/>
              <w:rPr/>
            </w:pPr>
            <w:r>
              <w:rPr/>
              <w:t> </w:t>
            </w:r>
          </w:p>
        </w:tc>
        <w:tc>
          <w:tcPr>
            <w:tcW w:w="680" w:type="dxa"/>
            <w:tcBorders/>
            <w:vAlign w:val="center"/>
          </w:tcPr>
          <w:p>
            <w:pPr>
              <w:pStyle w:val="TableContents"/>
              <w:bidi w:val="0"/>
              <w:spacing w:before="0" w:after="283"/>
              <w:jc w:val="center"/>
              <w:rPr/>
            </w:pPr>
            <w:r>
              <w:rPr/>
              <w:t> </w:t>
            </w:r>
          </w:p>
        </w:tc>
        <w:tc>
          <w:tcPr>
            <w:tcW w:w="770" w:type="dxa"/>
            <w:tcBorders/>
            <w:vAlign w:val="center"/>
          </w:tcPr>
          <w:p>
            <w:pPr>
              <w:pStyle w:val="TableContents"/>
              <w:bidi w:val="0"/>
              <w:spacing w:before="0" w:after="283"/>
              <w:jc w:val="center"/>
              <w:rPr/>
            </w:pPr>
            <w:r>
              <w:rPr/>
              <w:t> </w:t>
            </w:r>
          </w:p>
        </w:tc>
        <w:tc>
          <w:tcPr>
            <w:tcW w:w="77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5630"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Diluted earnings per common share</w:t>
            </w:r>
          </w:p>
        </w:tc>
        <w:tc>
          <w:tcPr>
            <w:tcW w:w="770" w:type="dxa"/>
            <w:tcBorders/>
            <w:vAlign w:val="center"/>
          </w:tcPr>
          <w:p>
            <w:pPr>
              <w:pStyle w:val="TableContents"/>
              <w:bidi w:val="0"/>
              <w:spacing w:before="0" w:after="283"/>
              <w:jc w:val="center"/>
              <w:rPr/>
            </w:pPr>
            <w:r>
              <w:rPr/>
              <w:t> </w:t>
            </w:r>
          </w:p>
        </w:tc>
        <w:tc>
          <w:tcPr>
            <w:tcW w:w="770" w:type="dxa"/>
            <w:tcBorders/>
            <w:vAlign w:val="center"/>
          </w:tcPr>
          <w:p>
            <w:pPr>
              <w:pStyle w:val="TableContents"/>
              <w:bidi w:val="0"/>
              <w:spacing w:before="0" w:after="283"/>
              <w:jc w:val="center"/>
              <w:rPr/>
            </w:pPr>
            <w:r>
              <w:rPr/>
              <w:t> </w:t>
            </w:r>
          </w:p>
        </w:tc>
        <w:tc>
          <w:tcPr>
            <w:tcW w:w="680" w:type="dxa"/>
            <w:tcBorders/>
            <w:vAlign w:val="center"/>
          </w:tcPr>
          <w:p>
            <w:pPr>
              <w:pStyle w:val="TableContents"/>
              <w:bidi w:val="0"/>
              <w:spacing w:before="0" w:after="283"/>
              <w:jc w:val="center"/>
              <w:rPr/>
            </w:pPr>
            <w:r>
              <w:rPr/>
              <w:t> </w:t>
            </w:r>
          </w:p>
        </w:tc>
        <w:tc>
          <w:tcPr>
            <w:tcW w:w="770" w:type="dxa"/>
            <w:tcBorders/>
            <w:vAlign w:val="center"/>
          </w:tcPr>
          <w:p>
            <w:pPr>
              <w:pStyle w:val="TableContents"/>
              <w:bidi w:val="0"/>
              <w:spacing w:before="0" w:after="283"/>
              <w:jc w:val="center"/>
              <w:rPr/>
            </w:pPr>
            <w:r>
              <w:rPr/>
              <w:t> </w:t>
            </w:r>
          </w:p>
        </w:tc>
        <w:tc>
          <w:tcPr>
            <w:tcW w:w="770" w:type="dxa"/>
            <w:tcBorders/>
            <w:vAlign w:val="center"/>
          </w:tcPr>
          <w:p>
            <w:pPr>
              <w:pStyle w:val="TableContents"/>
              <w:bidi w:val="0"/>
              <w:spacing w:before="0" w:after="283"/>
              <w:jc w:val="center"/>
              <w:rPr/>
            </w:pPr>
            <w:r>
              <w:rPr/>
              <w:t> </w:t>
            </w:r>
          </w:p>
        </w:tc>
        <w:tc>
          <w:tcPr>
            <w:tcW w:w="815" w:type="dxa"/>
            <w:gridSpan w:val="2"/>
            <w:tcBorders/>
            <w:vAlign w:val="center"/>
          </w:tcPr>
          <w:p>
            <w:pPr>
              <w:pStyle w:val="TableContents"/>
              <w:bidi w:val="0"/>
              <w:spacing w:before="0" w:after="283"/>
              <w:ind w:left="0" w:right="0" w:hanging="180"/>
              <w:jc w:val="center"/>
              <w:rPr/>
            </w:pPr>
            <w:r>
              <w:rPr/>
              <w:t> </w:t>
            </w:r>
          </w:p>
        </w:tc>
      </w:tr>
      <w:tr>
        <w:trPr/>
        <w:tc>
          <w:tcPr>
            <w:tcW w:w="56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Net income (loss) attributable to PFG </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$1.84</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$1.79</w:t>
            </w:r>
          </w:p>
        </w:tc>
        <w:tc>
          <w:tcPr>
            <w:tcW w:w="68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3%</w:t>
            </w:r>
          </w:p>
        </w:tc>
        <w:tc>
          <w:tcPr>
            <w:tcW w:w="770" w:type="dxa"/>
            <w:tcBorders/>
            <w:vAlign w:val="center"/>
          </w:tcPr>
          <w:p>
            <w:pPr>
              <w:pStyle w:val="TableContents"/>
              <w:bidi w:val="0"/>
              <w:spacing w:before="0" w:after="283"/>
              <w:jc w:val="center"/>
              <w:rPr/>
            </w:pPr>
            <w:r>
              <w:rPr/>
              <w:t> </w:t>
            </w:r>
          </w:p>
        </w:tc>
        <w:tc>
          <w:tcPr>
            <w:tcW w:w="77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56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Non-GAAP net income attributable to PFG, excluding exited business</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$2.44</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$1.91</w:t>
            </w:r>
          </w:p>
        </w:tc>
        <w:tc>
          <w:tcPr>
            <w:tcW w:w="68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28%</w:t>
            </w:r>
          </w:p>
        </w:tc>
        <w:tc>
          <w:tcPr>
            <w:tcW w:w="770" w:type="dxa"/>
            <w:tcBorders/>
            <w:vAlign w:val="center"/>
          </w:tcPr>
          <w:p>
            <w:pPr>
              <w:pStyle w:val="TableContents"/>
              <w:bidi w:val="0"/>
              <w:spacing w:before="0" w:after="283"/>
              <w:jc w:val="center"/>
              <w:rPr/>
            </w:pPr>
            <w:r>
              <w:rPr/>
              <w:t> </w:t>
            </w:r>
          </w:p>
        </w:tc>
        <w:tc>
          <w:tcPr>
            <w:tcW w:w="77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56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Non-GAAP operating earnings</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$2.50</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$2.16</w:t>
            </w:r>
          </w:p>
        </w:tc>
        <w:tc>
          <w:tcPr>
            <w:tcW w:w="68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16%</w:t>
            </w:r>
          </w:p>
        </w:tc>
        <w:tc>
          <w:tcPr>
            <w:tcW w:w="770" w:type="dxa"/>
            <w:tcBorders/>
            <w:vAlign w:val="center"/>
          </w:tcPr>
          <w:p>
            <w:pPr>
              <w:pStyle w:val="TableContents"/>
              <w:bidi w:val="0"/>
              <w:spacing w:before="0" w:after="283"/>
              <w:jc w:val="center"/>
              <w:rPr/>
            </w:pPr>
            <w:r>
              <w:rPr/>
              <w:t> </w:t>
            </w:r>
          </w:p>
        </w:tc>
        <w:tc>
          <w:tcPr>
            <w:tcW w:w="77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56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Non-GAAP operating earnings, excluding significant variances</w:t>
            </w:r>
            <w:r>
              <w:rPr>
                <w:rFonts w:ascii="Arial;Helvetica;Sans-Serif" w:hAnsi="Arial;Helvetica;Sans-Serif"/>
                <w:position w:val="7"/>
                <w:sz w:val="16"/>
                <w:sz w:val="20"/>
              </w:rPr>
              <w:t>2</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$2.42</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$2.07</w:t>
            </w:r>
          </w:p>
        </w:tc>
        <w:tc>
          <w:tcPr>
            <w:tcW w:w="68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17%</w:t>
            </w:r>
          </w:p>
        </w:tc>
        <w:tc>
          <w:tcPr>
            <w:tcW w:w="770" w:type="dxa"/>
            <w:tcBorders/>
            <w:vAlign w:val="center"/>
          </w:tcPr>
          <w:p>
            <w:pPr>
              <w:pStyle w:val="TableContents"/>
              <w:bidi w:val="0"/>
              <w:spacing w:before="0" w:after="283"/>
              <w:jc w:val="center"/>
              <w:rPr/>
            </w:pPr>
            <w:r>
              <w:rPr/>
              <w:t> </w:t>
            </w:r>
          </w:p>
        </w:tc>
        <w:tc>
          <w:tcPr>
            <w:tcW w:w="77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563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 </w:t>
            </w:r>
          </w:p>
        </w:tc>
        <w:tc>
          <w:tcPr>
            <w:tcW w:w="770" w:type="dxa"/>
            <w:tcBorders/>
            <w:vAlign w:val="center"/>
          </w:tcPr>
          <w:p>
            <w:pPr>
              <w:pStyle w:val="TableContents"/>
              <w:bidi w:val="0"/>
              <w:spacing w:before="0" w:after="283"/>
              <w:jc w:val="center"/>
              <w:rPr/>
            </w:pPr>
            <w:r>
              <w:rPr/>
              <w:t> </w:t>
            </w:r>
          </w:p>
        </w:tc>
        <w:tc>
          <w:tcPr>
            <w:tcW w:w="680" w:type="dxa"/>
            <w:tcBorders/>
            <w:vAlign w:val="center"/>
          </w:tcPr>
          <w:p>
            <w:pPr>
              <w:pStyle w:val="TableContents"/>
              <w:bidi w:val="0"/>
              <w:spacing w:before="0" w:after="283"/>
              <w:jc w:val="center"/>
              <w:rPr/>
            </w:pPr>
            <w:r>
              <w:rPr/>
              <w:t> </w:t>
            </w:r>
          </w:p>
        </w:tc>
        <w:tc>
          <w:tcPr>
            <w:tcW w:w="770" w:type="dxa"/>
            <w:tcBorders/>
            <w:vAlign w:val="center"/>
          </w:tcPr>
          <w:p>
            <w:pPr>
              <w:pStyle w:val="TableContents"/>
              <w:bidi w:val="0"/>
              <w:spacing w:before="0" w:after="283"/>
              <w:jc w:val="center"/>
              <w:rPr/>
            </w:pPr>
            <w:r>
              <w:rPr/>
              <w:t> </w:t>
            </w:r>
          </w:p>
        </w:tc>
        <w:tc>
          <w:tcPr>
            <w:tcW w:w="77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56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Assets under administration (billions)</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$1,892.4</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$1,737.8</w:t>
            </w:r>
          </w:p>
        </w:tc>
        <w:tc>
          <w:tcPr>
            <w:tcW w:w="68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9%</w:t>
            </w:r>
          </w:p>
        </w:tc>
        <w:tc>
          <w:tcPr>
            <w:tcW w:w="770" w:type="dxa"/>
            <w:tcBorders/>
            <w:vAlign w:val="center"/>
          </w:tcPr>
          <w:p>
            <w:pPr>
              <w:pStyle w:val="TableContents"/>
              <w:bidi w:val="0"/>
              <w:spacing w:before="0" w:after="283"/>
              <w:jc w:val="center"/>
              <w:rPr/>
            </w:pPr>
            <w:r>
              <w:rPr/>
              <w:t> </w:t>
            </w:r>
          </w:p>
        </w:tc>
        <w:tc>
          <w:tcPr>
            <w:tcW w:w="77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56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Assets under management (billions)</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$808.0</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$752.7</w:t>
            </w:r>
          </w:p>
        </w:tc>
        <w:tc>
          <w:tcPr>
            <w:tcW w:w="68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7%</w:t>
            </w:r>
          </w:p>
        </w:tc>
        <w:tc>
          <w:tcPr>
            <w:tcW w:w="770" w:type="dxa"/>
            <w:tcBorders/>
            <w:vAlign w:val="center"/>
          </w:tcPr>
          <w:p>
            <w:pPr>
              <w:pStyle w:val="TableContents"/>
              <w:bidi w:val="0"/>
              <w:spacing w:before="0" w:after="283"/>
              <w:jc w:val="center"/>
              <w:rPr/>
            </w:pPr>
            <w:r>
              <w:rPr/>
              <w:t> </w:t>
            </w:r>
          </w:p>
        </w:tc>
        <w:tc>
          <w:tcPr>
            <w:tcW w:w="770" w:type="dxa"/>
            <w:tcBorders/>
            <w:vAlign w:val="center"/>
          </w:tcPr>
          <w:p>
            <w:pPr>
              <w:pStyle w:val="TableContents"/>
              <w:bidi w:val="0"/>
              <w:spacing w:before="0" w:after="283"/>
              <w:jc w:val="center"/>
              <w:rPr/>
            </w:pPr>
            <w:r>
              <w:rPr/>
              <w:t> </w:t>
            </w:r>
          </w:p>
        </w:tc>
        <w:tc>
          <w:tcPr>
            <w:tcW w:w="74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ind w:left="0" w:right="0" w:hanging="180"/>
              <w:jc w:val="left"/>
              <w:rPr/>
            </w:pPr>
            <w:r>
              <w:rPr/>
              <w:t> </w:t>
            </w:r>
          </w:p>
        </w:tc>
      </w:tr>
      <w:tr>
        <w:trPr/>
        <w:tc>
          <w:tcPr>
            <w:tcW w:w="56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AUM net cash flow (billions)</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$(11.1)</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$(2.6)</w:t>
            </w:r>
          </w:p>
        </w:tc>
        <w:tc>
          <w:tcPr>
            <w:tcW w:w="68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$(8.5)</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$(14.4)</w:t>
            </w:r>
          </w:p>
        </w:tc>
        <w:tc>
          <w:tcPr>
            <w:tcW w:w="77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$(9.3)</w:t>
            </w:r>
          </w:p>
        </w:tc>
        <w:tc>
          <w:tcPr>
            <w:tcW w:w="740" w:type="dxa"/>
            <w:tcBorders/>
            <w:vAlign w:val="center"/>
          </w:tcPr>
          <w:p>
            <w:pPr>
              <w:pStyle w:val="TableContents"/>
              <w:bidi w:val="0"/>
              <w:spacing w:before="0" w:after="283"/>
              <w:jc w:val="center"/>
              <w:rPr>
                <w:rFonts w:ascii="Arial;Helvetica;Sans-Serif" w:hAnsi="Arial;Helvetica;Sans-Serif"/>
                <w:sz w:val="20"/>
              </w:rPr>
            </w:pPr>
            <w:r>
              <w:rPr>
                <w:rFonts w:ascii="Arial;Helvetica;Sans-Serif" w:hAnsi="Arial;Helvetica;Sans-Serif"/>
                <w:sz w:val="20"/>
              </w:rPr>
              <w:t>$(5.1)</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004C97"/>
        </w:rPr>
      </w:pPr>
      <w:r>
        <w:rPr>
          <w:caps w:val="false"/>
          <w:smallCaps w:val="false"/>
          <w:color w:val="004C97"/>
        </w:rPr>
        <w:t> </w:t>
      </w:r>
    </w:p>
    <w:p>
      <w:pPr>
        <w:pStyle w:val="TextBody"/>
        <w:bidi w:val="0"/>
        <w:spacing w:before="0" w:after="0"/>
        <w:ind w:left="0" w:right="0" w:hanging="0"/>
        <w:jc w:val="left"/>
        <w:rPr>
          <w:caps w:val="false"/>
          <w:smallCaps w:val="false"/>
          <w:color w:val="004C97"/>
        </w:rPr>
      </w:pPr>
      <w:r>
        <w:rPr>
          <w:caps w:val="false"/>
          <w:smallCaps w:val="false"/>
          <w:color w:val="004C97"/>
        </w:rPr>
        <w:t> </w:t>
      </w:r>
    </w:p>
    <w:p>
      <w:pPr>
        <w:pStyle w:val="TextBody"/>
        <w:bidi w:val="0"/>
        <w:spacing w:before="0" w:after="0"/>
        <w:ind w:left="0" w:right="0" w:hanging="0"/>
        <w:jc w:val="left"/>
        <w:rPr>
          <w:rFonts w:ascii="Arial;Helvetica;Sans-Serif" w:hAnsi="Arial;Helvetica;Sans-Serif"/>
          <w:b/>
          <w:i w:val="false"/>
          <w:caps w:val="false"/>
          <w:smallCaps w:val="false"/>
          <w:color w:val="004C97"/>
          <w:sz w:val="22"/>
        </w:rPr>
      </w:pPr>
      <w:r>
        <w:rPr>
          <w:rFonts w:ascii="Arial;Helvetica;Sans-Serif" w:hAnsi="Arial;Helvetica;Sans-Serif"/>
          <w:b/>
          <w:i w:val="false"/>
          <w:caps w:val="false"/>
          <w:smallCaps w:val="false"/>
          <w:color w:val="004C97"/>
          <w:sz w:val="22"/>
        </w:rPr>
        <w:t>Second Quarter Segment Highlights (compared to 2Q25)</w:t>
      </w:r>
    </w:p>
    <w:p>
      <w:pPr>
        <w:pStyle w:val="TextBody"/>
        <w:bidi w:val="0"/>
        <w:spacing w:before="0" w:after="0"/>
        <w:ind w:left="0" w:right="0" w:hanging="0"/>
        <w:jc w:val="left"/>
        <w:rPr>
          <w:caps w:val="false"/>
          <w:smallCaps w:val="false"/>
          <w:color w:val="004C97"/>
        </w:rPr>
      </w:pPr>
      <w:r>
        <w:rPr>
          <w:caps w:val="false"/>
          <w:smallCaps w:val="false"/>
          <w:color w:val="004C97"/>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Retirement and Income Solutions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4"/>
        <w:gridCol w:w="9992"/>
      </w:tblGrid>
      <w:tr>
        <w:trPr/>
        <w:tc>
          <w:tcPr>
            <w:tcW w:w="4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rFonts w:ascii="Symbol" w:hAnsi="Symbol"/>
                <w:sz w:val="22"/>
              </w:rPr>
            </w:pPr>
            <w:r>
              <w:rPr>
                <w:rFonts w:ascii="Symbol" w:hAnsi="Symbol"/>
                <w:sz w:val="22"/>
              </w:rPr>
              <w:t>·</w:t>
            </w:r>
          </w:p>
        </w:tc>
        <w:tc>
          <w:tcPr>
            <w:tcW w:w="9992"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RIS transfer deposits of $9 billion, up 30%; operating margin</w:t>
            </w:r>
            <w:r>
              <w:rPr>
                <w:rFonts w:ascii="Arial;Helvetica;Sans-Serif" w:hAnsi="Arial;Helvetica;Sans-Serif"/>
                <w:position w:val="7"/>
                <w:sz w:val="18"/>
                <w:sz w:val="22"/>
              </w:rPr>
              <w:t>3</w:t>
            </w:r>
            <w:r>
              <w:rPr>
                <w:rFonts w:ascii="Arial;Helvetica;Sans-Serif" w:hAnsi="Arial;Helvetica;Sans-Serif"/>
                <w:sz w:val="22"/>
              </w:rPr>
              <w:t xml:space="preserve"> improved 60 bps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Principal Asset Management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9"/>
        <w:gridCol w:w="198"/>
        <w:gridCol w:w="9948"/>
      </w:tblGrid>
      <w:tr>
        <w:trPr/>
        <w:tc>
          <w:tcPr>
            <w:tcW w:w="5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rFonts w:ascii="Symbol" w:hAnsi="Symbol"/>
                <w:sz w:val="22"/>
              </w:rPr>
            </w:pPr>
            <w:r>
              <w:rPr>
                <w:rFonts w:ascii="Symbol" w:hAnsi="Symbol"/>
                <w:sz w:val="22"/>
              </w:rPr>
              <w:t>·</w:t>
            </w:r>
          </w:p>
        </w:tc>
        <w:tc>
          <w:tcPr>
            <w:tcW w:w="9948"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Investment Management gross sales of $30 billion increased 2%</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27"/>
        <w:gridCol w:w="10040"/>
      </w:tblGrid>
      <w:tr>
        <w:trPr/>
        <w:tc>
          <w:tcPr>
            <w:tcW w:w="3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Symbol" w:hAnsi="Symbol"/>
                <w:sz w:val="22"/>
              </w:rPr>
            </w:pPr>
            <w:r>
              <w:rPr>
                <w:rFonts w:ascii="Symbol" w:hAnsi="Symbol"/>
                <w:sz w:val="22"/>
              </w:rPr>
              <w:t>·</w:t>
            </w:r>
          </w:p>
        </w:tc>
        <w:tc>
          <w:tcPr>
            <w:tcW w:w="1004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International Pension record AUM of $169 billion increased 18%, operating margin</w:t>
            </w:r>
            <w:r>
              <w:rPr>
                <w:rFonts w:ascii="Arial;Helvetica;Sans-Serif" w:hAnsi="Arial;Helvetica;Sans-Serif"/>
                <w:position w:val="7"/>
                <w:sz w:val="18"/>
                <w:sz w:val="22"/>
              </w:rPr>
              <w:t>4</w:t>
            </w:r>
            <w:r>
              <w:rPr>
                <w:rFonts w:ascii="Arial;Helvetica;Sans-Serif" w:hAnsi="Arial;Helvetica;Sans-Serif"/>
                <w:sz w:val="22"/>
              </w:rPr>
              <w:t xml:space="preserve"> improved 320 bps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9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Benefits and Protection</w:t>
      </w:r>
    </w:p>
    <w:p>
      <w:pPr>
        <w:pStyle w:val="TextBody"/>
        <w:bidi w:val="0"/>
        <w:spacing w:before="0" w:after="0"/>
        <w:ind w:left="9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183"/>
        <w:gridCol w:w="9967"/>
      </w:tblGrid>
      <w:tr>
        <w:trPr/>
        <w:tc>
          <w:tcPr>
            <w:tcW w:w="5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rFonts w:ascii="Symbol" w:hAnsi="Symbol"/>
                <w:sz w:val="22"/>
              </w:rPr>
            </w:pPr>
            <w:r>
              <w:rPr>
                <w:rFonts w:ascii="Symbol" w:hAnsi="Symbol"/>
                <w:sz w:val="22"/>
              </w:rPr>
              <w:t>·</w:t>
            </w:r>
          </w:p>
        </w:tc>
        <w:tc>
          <w:tcPr>
            <w:tcW w:w="996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Specialty Benefits sales up 11%; operating margin</w:t>
            </w:r>
            <w:r>
              <w:rPr>
                <w:rFonts w:ascii="Arial;Helvetica;Sans-Serif" w:hAnsi="Arial;Helvetica;Sans-Serif"/>
                <w:color w:val="000000"/>
                <w:position w:val="7"/>
                <w:sz w:val="18"/>
                <w:sz w:val="22"/>
              </w:rPr>
              <w:t>5</w:t>
            </w:r>
            <w:r>
              <w:rPr>
                <w:rFonts w:ascii="Arial;Helvetica;Sans-Serif" w:hAnsi="Arial;Helvetica;Sans-Serif"/>
                <w:sz w:val="22"/>
              </w:rPr>
              <w:t xml:space="preserve"> improved 300 bps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6"/>
        <w:gridCol w:w="252"/>
        <w:gridCol w:w="9877"/>
      </w:tblGrid>
      <w:tr>
        <w:trPr/>
        <w:tc>
          <w:tcPr>
            <w:tcW w:w="7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rFonts w:ascii="Symbol" w:hAnsi="Symbol"/>
                <w:sz w:val="22"/>
              </w:rPr>
            </w:pPr>
            <w:r>
              <w:rPr>
                <w:rFonts w:ascii="Symbol" w:hAnsi="Symbol"/>
                <w:sz w:val="22"/>
              </w:rPr>
              <w:t>·</w:t>
            </w:r>
          </w:p>
        </w:tc>
        <w:tc>
          <w:tcPr>
            <w:tcW w:w="987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Life Insurance operating margin improved 280 bps</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position w:val="5"/>
          <w:sz w:val="13"/>
          <w:sz w:val="16"/>
        </w:rPr>
        <w:t>3</w:t>
      </w:r>
      <w:r>
        <w:rPr>
          <w:rFonts w:ascii="Arial;Helvetica;Sans-Serif" w:hAnsi="Arial;Helvetica;Sans-Serif"/>
          <w:b w:val="false"/>
          <w:i w:val="false"/>
          <w:caps w:val="false"/>
          <w:smallCaps w:val="false"/>
          <w:sz w:val="16"/>
        </w:rPr>
        <w:t xml:space="preserve"> Operating margin for Retirement and Income Solutions = pre-tax operating earnings divided by net revenue.</w:t>
      </w:r>
    </w:p>
    <w:p>
      <w:pPr>
        <w:pStyle w:val="TextBody"/>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position w:val="5"/>
          <w:sz w:val="13"/>
          <w:sz w:val="16"/>
        </w:rPr>
        <w:t>4</w:t>
      </w:r>
      <w:r>
        <w:rPr>
          <w:rFonts w:ascii="Arial;Helvetica;Sans-Serif" w:hAnsi="Arial;Helvetica;Sans-Serif"/>
          <w:b w:val="false"/>
          <w:i w:val="false"/>
          <w:caps w:val="false"/>
          <w:smallCaps w:val="false"/>
          <w:sz w:val="16"/>
        </w:rPr>
        <w:t xml:space="preserve"> Operating margin for International Pension = pre-tax operating earnings divided by net revenue.</w:t>
      </w:r>
    </w:p>
    <w:p>
      <w:pPr>
        <w:pStyle w:val="TextBody"/>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position w:val="5"/>
          <w:sz w:val="13"/>
          <w:sz w:val="16"/>
        </w:rPr>
        <w:t>5</w:t>
      </w:r>
      <w:r>
        <w:rPr>
          <w:rFonts w:ascii="Arial;Helvetica;Sans-Serif" w:hAnsi="Arial;Helvetica;Sans-Serif"/>
          <w:b w:val="false"/>
          <w:i w:val="false"/>
          <w:caps w:val="false"/>
          <w:smallCaps w:val="false"/>
          <w:sz w:val="16"/>
        </w:rPr>
        <w:t xml:space="preserve"> Operating margin for Benefits and Protection = pre-tax operating earnings divided by premium and fees.</w:t>
      </w:r>
    </w:p>
    <w:p>
      <w:pPr>
        <w:pStyle w:val="TextBody"/>
        <w:bidi w:val="0"/>
        <w:spacing w:before="0" w:after="0"/>
        <w:ind w:left="0" w:right="0" w:hanging="0"/>
        <w:jc w:val="left"/>
        <w:rPr>
          <w:caps w:val="false"/>
          <w:smallCaps w:val="false"/>
          <w:color w:val="004C97"/>
        </w:rPr>
      </w:pPr>
      <w:r>
        <w:rPr>
          <w:caps w:val="false"/>
          <w:smallCaps w:val="false"/>
          <w:color w:val="004C97"/>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4C97"/>
        </w:rPr>
      </w:pPr>
      <w:r>
        <w:rPr>
          <w:caps w:val="false"/>
          <w:smallCaps w:val="false"/>
          <w:color w:val="004C97"/>
        </w:rPr>
        <w:t> </w:t>
      </w:r>
    </w:p>
    <w:p>
      <w:pPr>
        <w:pStyle w:val="TextBody"/>
        <w:bidi w:val="0"/>
        <w:spacing w:before="0" w:after="0"/>
        <w:ind w:left="0" w:right="0" w:hanging="0"/>
        <w:jc w:val="left"/>
        <w:rPr>
          <w:rFonts w:ascii="Arial;Helvetica;Sans-Serif" w:hAnsi="Arial;Helvetica;Sans-Serif"/>
          <w:b/>
          <w:i w:val="false"/>
          <w:caps w:val="false"/>
          <w:smallCaps w:val="false"/>
          <w:color w:val="004C97"/>
          <w:sz w:val="22"/>
        </w:rPr>
      </w:pPr>
      <w:r>
        <w:rPr>
          <w:rFonts w:ascii="Arial;Helvetica;Sans-Serif" w:hAnsi="Arial;Helvetica;Sans-Serif"/>
          <w:b/>
          <w:i w:val="false"/>
          <w:caps w:val="false"/>
          <w:smallCaps w:val="false"/>
          <w:color w:val="004C97"/>
          <w:sz w:val="22"/>
        </w:rPr>
        <w:t>Segment Results</w:t>
      </w:r>
    </w:p>
    <w:p>
      <w:pPr>
        <w:pStyle w:val="TextBody"/>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color w:val="004C97"/>
          <w:sz w:val="16"/>
        </w:rPr>
        <w:t xml:space="preserve">In millions except percentages, or otherwise noted </w:t>
      </w:r>
      <w:r>
        <w:rPr>
          <w:rFonts w:ascii="Arial;Helvetica;Sans-Serif" w:hAnsi="Arial;Helvetica;Sans-Serif"/>
          <w:b w:val="false"/>
          <w:i w:val="false"/>
          <w:caps w:val="false"/>
          <w:smallCaps w:val="false"/>
          <w:color w:val="FFFFFF"/>
          <w:sz w:val="16"/>
        </w:rPr>
        <w:t>except percentages or otherwise noted)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Retirement and Income Solutions</w:t>
      </w:r>
    </w:p>
    <w:p>
      <w:pPr>
        <w:pStyle w:val="TextBody"/>
        <w:bidi w:val="0"/>
        <w:spacing w:before="0" w:after="0"/>
        <w:ind w:left="0" w:right="0" w:hanging="0"/>
        <w:jc w:val="left"/>
        <w:rPr>
          <w:caps w:val="false"/>
          <w:smallCaps w:val="false"/>
        </w:rPr>
      </w:pPr>
      <w:r>
        <w:rPr>
          <w:caps w:val="false"/>
          <w:smallCaps w:val="false"/>
        </w:rPr>
        <w:t> </w:t>
      </w:r>
    </w:p>
    <w:tbl>
      <w:tblPr>
        <w:tblW w:w="7385" w:type="dxa"/>
        <w:jc w:val="left"/>
        <w:tblInd w:w="0" w:type="dxa"/>
        <w:tblLayout w:type="fixed"/>
        <w:tblCellMar>
          <w:top w:w="0" w:type="dxa"/>
          <w:left w:w="0" w:type="dxa"/>
          <w:bottom w:w="0" w:type="dxa"/>
          <w:right w:w="0" w:type="dxa"/>
        </w:tblCellMar>
      </w:tblPr>
      <w:tblGrid>
        <w:gridCol w:w="2720"/>
        <w:gridCol w:w="680"/>
        <w:gridCol w:w="680"/>
        <w:gridCol w:w="785"/>
        <w:gridCol w:w="860"/>
        <w:gridCol w:w="860"/>
        <w:gridCol w:w="800"/>
      </w:tblGrid>
      <w:tr>
        <w:trPr/>
        <w:tc>
          <w:tcPr>
            <w:tcW w:w="2720" w:type="dxa"/>
            <w:vMerge w:val="restart"/>
            <w:tcBorders/>
            <w:shd w:fill="004C97" w:val="clear"/>
            <w:vAlign w:val="center"/>
          </w:tcPr>
          <w:p>
            <w:pPr>
              <w:pStyle w:val="TableContents"/>
              <w:bidi w:val="0"/>
              <w:spacing w:before="0" w:after="283"/>
              <w:jc w:val="left"/>
              <w:rPr/>
            </w:pPr>
            <w:r>
              <w:rPr/>
              <w:t> </w:t>
            </w:r>
          </w:p>
        </w:tc>
        <w:tc>
          <w:tcPr>
            <w:tcW w:w="2145" w:type="dxa"/>
            <w:gridSpan w:val="3"/>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Three Months Ended,</w:t>
            </w:r>
          </w:p>
        </w:tc>
        <w:tc>
          <w:tcPr>
            <w:tcW w:w="2520" w:type="dxa"/>
            <w:gridSpan w:val="3"/>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Trailing Twelve Months,</w:t>
            </w:r>
          </w:p>
        </w:tc>
      </w:tr>
      <w:tr>
        <w:trPr/>
        <w:tc>
          <w:tcPr>
            <w:tcW w:w="2720" w:type="dxa"/>
            <w:vMerge w:val="continue"/>
            <w:tcBorders/>
            <w:shd w:fill="004C97" w:val="clear"/>
            <w:vAlign w:val="center"/>
          </w:tcPr>
          <w:p>
            <w:pPr>
              <w:pStyle w:val="Normal"/>
              <w:bidi w:val="0"/>
              <w:jc w:val="left"/>
              <w:rPr/>
            </w:pPr>
            <w:r>
              <w:rPr/>
            </w:r>
          </w:p>
        </w:tc>
        <w:tc>
          <w:tcPr>
            <w:tcW w:w="680"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2Q26</w:t>
            </w:r>
          </w:p>
        </w:tc>
        <w:tc>
          <w:tcPr>
            <w:tcW w:w="680"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2Q25</w:t>
            </w:r>
          </w:p>
        </w:tc>
        <w:tc>
          <w:tcPr>
            <w:tcW w:w="785"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Change</w:t>
            </w:r>
          </w:p>
        </w:tc>
        <w:tc>
          <w:tcPr>
            <w:tcW w:w="860"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2Q26</w:t>
            </w:r>
          </w:p>
        </w:tc>
        <w:tc>
          <w:tcPr>
            <w:tcW w:w="860"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2Q25</w:t>
            </w:r>
          </w:p>
        </w:tc>
        <w:tc>
          <w:tcPr>
            <w:tcW w:w="800"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Change</w:t>
            </w:r>
          </w:p>
        </w:tc>
      </w:tr>
      <w:tr>
        <w:trPr/>
        <w:tc>
          <w:tcPr>
            <w:tcW w:w="272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Pre-tax operating earnings</w:t>
            </w:r>
            <w:r>
              <w:rPr>
                <w:rFonts w:ascii="Arial;Helvetica;Sans-Serif" w:hAnsi="Arial;Helvetica;Sans-Serif"/>
                <w:position w:val="7"/>
                <w:sz w:val="18"/>
                <w:sz w:val="22"/>
              </w:rPr>
              <w:t>6</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$323.3</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$292.1</w:t>
            </w:r>
          </w:p>
        </w:tc>
        <w:tc>
          <w:tcPr>
            <w:tcW w:w="785" w:type="dxa"/>
            <w:tcBorders/>
            <w:vAlign w:val="center"/>
          </w:tcPr>
          <w:p>
            <w:pPr>
              <w:pStyle w:val="TableContents"/>
              <w:bidi w:val="0"/>
              <w:spacing w:before="0" w:after="283"/>
              <w:jc w:val="center"/>
              <w:rPr/>
            </w:pPr>
            <w:r>
              <w:rPr/>
              <w:t> </w:t>
            </w:r>
            <w:r>
              <w:rPr>
                <w:rFonts w:ascii="Arial;Helvetica;Sans-Serif" w:hAnsi="Arial;Helvetica;Sans-Serif"/>
                <w:sz w:val="22"/>
              </w:rPr>
              <w:t>11%</w:t>
            </w:r>
          </w:p>
        </w:tc>
        <w:tc>
          <w:tcPr>
            <w:tcW w:w="86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$1,235.2</w:t>
            </w:r>
          </w:p>
        </w:tc>
        <w:tc>
          <w:tcPr>
            <w:tcW w:w="86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$1,102.0</w:t>
            </w:r>
          </w:p>
        </w:tc>
        <w:tc>
          <w:tcPr>
            <w:tcW w:w="80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12%</w:t>
            </w:r>
          </w:p>
        </w:tc>
      </w:tr>
      <w:tr>
        <w:trPr/>
        <w:tc>
          <w:tcPr>
            <w:tcW w:w="272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Net revenue</w:t>
            </w:r>
            <w:r>
              <w:rPr>
                <w:rFonts w:ascii="Arial;Helvetica;Sans-Serif" w:hAnsi="Arial;Helvetica;Sans-Serif"/>
                <w:position w:val="7"/>
                <w:sz w:val="18"/>
                <w:sz w:val="22"/>
              </w:rPr>
              <w:t>7</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$779.0</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$713.9</w:t>
            </w:r>
          </w:p>
        </w:tc>
        <w:tc>
          <w:tcPr>
            <w:tcW w:w="785" w:type="dxa"/>
            <w:tcBorders/>
            <w:vAlign w:val="center"/>
          </w:tcPr>
          <w:p>
            <w:pPr>
              <w:pStyle w:val="TableContents"/>
              <w:bidi w:val="0"/>
              <w:spacing w:before="0" w:after="283"/>
              <w:jc w:val="center"/>
              <w:rPr/>
            </w:pPr>
            <w:r>
              <w:rPr/>
              <w:t> </w:t>
            </w:r>
            <w:r>
              <w:rPr>
                <w:rFonts w:ascii="Arial;Helvetica;Sans-Serif" w:hAnsi="Arial;Helvetica;Sans-Serif"/>
                <w:sz w:val="22"/>
              </w:rPr>
              <w:t>9%</w:t>
            </w:r>
          </w:p>
        </w:tc>
        <w:tc>
          <w:tcPr>
            <w:tcW w:w="86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$3,035.6</w:t>
            </w:r>
          </w:p>
        </w:tc>
        <w:tc>
          <w:tcPr>
            <w:tcW w:w="86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$2,846.7</w:t>
            </w:r>
          </w:p>
        </w:tc>
        <w:tc>
          <w:tcPr>
            <w:tcW w:w="80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7%</w:t>
            </w:r>
          </w:p>
        </w:tc>
      </w:tr>
      <w:tr>
        <w:trPr/>
        <w:tc>
          <w:tcPr>
            <w:tcW w:w="272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Operating margin</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41.5%</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40.9%</w:t>
            </w:r>
          </w:p>
        </w:tc>
        <w:tc>
          <w:tcPr>
            <w:tcW w:w="78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40.7%</w:t>
            </w:r>
          </w:p>
        </w:tc>
        <w:tc>
          <w:tcPr>
            <w:tcW w:w="86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38.7%</w:t>
            </w:r>
          </w:p>
        </w:tc>
        <w:tc>
          <w:tcPr>
            <w:tcW w:w="80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b/>
                <w:sz w:val="22"/>
              </w:rPr>
              <w:t>Pre-tax operating earnings</w:t>
            </w:r>
            <w:r>
              <w:rPr>
                <w:rFonts w:ascii="Arial;Helvetica;Sans-Serif" w:hAnsi="Arial;Helvetica;Sans-Serif"/>
                <w:sz w:val="22"/>
              </w:rPr>
              <w:t xml:space="preserve"> increased $31.2 million primarily due to higher net revenue and margin expansion.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b/>
                <w:sz w:val="22"/>
              </w:rPr>
              <w:t>Net revenue</w:t>
            </w:r>
            <w:r>
              <w:rPr>
                <w:rFonts w:ascii="Arial;Helvetica;Sans-Serif" w:hAnsi="Arial;Helvetica;Sans-Serif"/>
                <w:sz w:val="22"/>
              </w:rPr>
              <w:t xml:space="preserve"> increased $65.1 million due to favorable market performance and growth in the business.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Investment Management</w:t>
      </w:r>
    </w:p>
    <w:p>
      <w:pPr>
        <w:pStyle w:val="TextBody"/>
        <w:bidi w:val="0"/>
        <w:spacing w:before="0" w:after="0"/>
        <w:ind w:left="0" w:right="0" w:hanging="0"/>
        <w:jc w:val="left"/>
        <w:rPr>
          <w:caps w:val="false"/>
          <w:smallCaps w:val="false"/>
        </w:rPr>
      </w:pPr>
      <w:r>
        <w:rPr>
          <w:caps w:val="false"/>
          <w:smallCaps w:val="false"/>
        </w:rPr>
        <w:t> </w:t>
      </w:r>
    </w:p>
    <w:tbl>
      <w:tblPr>
        <w:tblW w:w="9575" w:type="dxa"/>
        <w:jc w:val="left"/>
        <w:tblInd w:w="0" w:type="dxa"/>
        <w:tblLayout w:type="fixed"/>
        <w:tblCellMar>
          <w:top w:w="0" w:type="dxa"/>
          <w:left w:w="0" w:type="dxa"/>
          <w:bottom w:w="0" w:type="dxa"/>
          <w:right w:w="0" w:type="dxa"/>
        </w:tblCellMar>
      </w:tblPr>
      <w:tblGrid>
        <w:gridCol w:w="4910"/>
        <w:gridCol w:w="680"/>
        <w:gridCol w:w="680"/>
        <w:gridCol w:w="785"/>
        <w:gridCol w:w="860"/>
        <w:gridCol w:w="860"/>
        <w:gridCol w:w="800"/>
      </w:tblGrid>
      <w:tr>
        <w:trPr/>
        <w:tc>
          <w:tcPr>
            <w:tcW w:w="4910" w:type="dxa"/>
            <w:vMerge w:val="restart"/>
            <w:tcBorders/>
            <w:shd w:fill="004C97" w:val="clear"/>
            <w:vAlign w:val="center"/>
          </w:tcPr>
          <w:p>
            <w:pPr>
              <w:pStyle w:val="TableContents"/>
              <w:bidi w:val="0"/>
              <w:spacing w:before="0" w:after="283"/>
              <w:jc w:val="left"/>
              <w:rPr/>
            </w:pPr>
            <w:r>
              <w:rPr/>
              <w:t> </w:t>
            </w:r>
          </w:p>
        </w:tc>
        <w:tc>
          <w:tcPr>
            <w:tcW w:w="2145" w:type="dxa"/>
            <w:gridSpan w:val="3"/>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Three Months Ended,</w:t>
            </w:r>
          </w:p>
        </w:tc>
        <w:tc>
          <w:tcPr>
            <w:tcW w:w="2520" w:type="dxa"/>
            <w:gridSpan w:val="3"/>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Trailing Twelve Months,</w:t>
            </w:r>
          </w:p>
        </w:tc>
      </w:tr>
      <w:tr>
        <w:trPr/>
        <w:tc>
          <w:tcPr>
            <w:tcW w:w="4910" w:type="dxa"/>
            <w:vMerge w:val="continue"/>
            <w:tcBorders/>
            <w:shd w:fill="004C97" w:val="clear"/>
            <w:vAlign w:val="center"/>
          </w:tcPr>
          <w:p>
            <w:pPr>
              <w:pStyle w:val="Normal"/>
              <w:bidi w:val="0"/>
              <w:jc w:val="left"/>
              <w:rPr/>
            </w:pPr>
            <w:r>
              <w:rPr/>
            </w:r>
          </w:p>
        </w:tc>
        <w:tc>
          <w:tcPr>
            <w:tcW w:w="680"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2Q26</w:t>
            </w:r>
          </w:p>
        </w:tc>
        <w:tc>
          <w:tcPr>
            <w:tcW w:w="680"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2Q25</w:t>
            </w:r>
          </w:p>
        </w:tc>
        <w:tc>
          <w:tcPr>
            <w:tcW w:w="785"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Change</w:t>
            </w:r>
          </w:p>
        </w:tc>
        <w:tc>
          <w:tcPr>
            <w:tcW w:w="860"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2Q26</w:t>
            </w:r>
          </w:p>
        </w:tc>
        <w:tc>
          <w:tcPr>
            <w:tcW w:w="860"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2Q25</w:t>
            </w:r>
          </w:p>
        </w:tc>
        <w:tc>
          <w:tcPr>
            <w:tcW w:w="800"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Change</w:t>
            </w:r>
          </w:p>
        </w:tc>
      </w:tr>
      <w:tr>
        <w:trPr/>
        <w:tc>
          <w:tcPr>
            <w:tcW w:w="491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 xml:space="preserve">Pre-tax operating earnings </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$159.4</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$157.9</w:t>
            </w:r>
          </w:p>
        </w:tc>
        <w:tc>
          <w:tcPr>
            <w:tcW w:w="785" w:type="dxa"/>
            <w:tcBorders/>
            <w:vAlign w:val="center"/>
          </w:tcPr>
          <w:p>
            <w:pPr>
              <w:pStyle w:val="TableContents"/>
              <w:bidi w:val="0"/>
              <w:spacing w:before="0" w:after="283"/>
              <w:jc w:val="center"/>
              <w:rPr/>
            </w:pPr>
            <w:r>
              <w:rPr/>
              <w:t> </w:t>
            </w:r>
            <w:r>
              <w:rPr>
                <w:rFonts w:ascii="Arial;Helvetica;Sans-Serif" w:hAnsi="Arial;Helvetica;Sans-Serif"/>
                <w:sz w:val="22"/>
              </w:rPr>
              <w:t>1%</w:t>
            </w:r>
          </w:p>
        </w:tc>
        <w:tc>
          <w:tcPr>
            <w:tcW w:w="86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$624.7</w:t>
            </w:r>
          </w:p>
        </w:tc>
        <w:tc>
          <w:tcPr>
            <w:tcW w:w="86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$597.2</w:t>
            </w:r>
          </w:p>
        </w:tc>
        <w:tc>
          <w:tcPr>
            <w:tcW w:w="80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5%</w:t>
            </w:r>
          </w:p>
        </w:tc>
      </w:tr>
      <w:tr>
        <w:trPr/>
        <w:tc>
          <w:tcPr>
            <w:tcW w:w="491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Operating revenues less pass-through expenses</w:t>
            </w:r>
            <w:r>
              <w:rPr>
                <w:rFonts w:ascii="Arial;Helvetica;Sans-Serif" w:hAnsi="Arial;Helvetica;Sans-Serif"/>
                <w:position w:val="7"/>
                <w:sz w:val="18"/>
                <w:sz w:val="22"/>
              </w:rPr>
              <w:t>8</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$431.6</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$429.0</w:t>
            </w:r>
          </w:p>
        </w:tc>
        <w:tc>
          <w:tcPr>
            <w:tcW w:w="785" w:type="dxa"/>
            <w:tcBorders/>
            <w:vAlign w:val="center"/>
          </w:tcPr>
          <w:p>
            <w:pPr>
              <w:pStyle w:val="TableContents"/>
              <w:bidi w:val="0"/>
              <w:spacing w:before="0" w:after="283"/>
              <w:jc w:val="center"/>
              <w:rPr/>
            </w:pPr>
            <w:r>
              <w:rPr/>
              <w:t> </w:t>
            </w:r>
            <w:r>
              <w:rPr>
                <w:rFonts w:ascii="Arial;Helvetica;Sans-Serif" w:hAnsi="Arial;Helvetica;Sans-Serif"/>
                <w:sz w:val="22"/>
              </w:rPr>
              <w:t>1%</w:t>
            </w:r>
          </w:p>
        </w:tc>
        <w:tc>
          <w:tcPr>
            <w:tcW w:w="86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$1,743.4</w:t>
            </w:r>
          </w:p>
        </w:tc>
        <w:tc>
          <w:tcPr>
            <w:tcW w:w="86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$1,708.5</w:t>
            </w:r>
          </w:p>
        </w:tc>
        <w:tc>
          <w:tcPr>
            <w:tcW w:w="80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2%</w:t>
            </w:r>
          </w:p>
        </w:tc>
      </w:tr>
      <w:tr>
        <w:trPr/>
        <w:tc>
          <w:tcPr>
            <w:tcW w:w="491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Operating margin</w:t>
            </w:r>
            <w:r>
              <w:rPr>
                <w:rFonts w:ascii="Arial;Helvetica;Sans-Serif" w:hAnsi="Arial;Helvetica;Sans-Serif"/>
                <w:position w:val="7"/>
                <w:sz w:val="18"/>
                <w:sz w:val="22"/>
              </w:rPr>
              <w:t>9</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37.5%</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37.5%</w:t>
            </w:r>
          </w:p>
        </w:tc>
        <w:tc>
          <w:tcPr>
            <w:tcW w:w="78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36.5%</w:t>
            </w:r>
          </w:p>
        </w:tc>
        <w:tc>
          <w:tcPr>
            <w:tcW w:w="86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35.8%</w:t>
            </w:r>
          </w:p>
        </w:tc>
        <w:tc>
          <w:tcPr>
            <w:tcW w:w="800" w:type="dxa"/>
            <w:tcBorders/>
            <w:vAlign w:val="center"/>
          </w:tcPr>
          <w:p>
            <w:pPr>
              <w:pStyle w:val="TableContents"/>
              <w:bidi w:val="0"/>
              <w:spacing w:before="0" w:after="283"/>
              <w:jc w:val="center"/>
              <w:rPr/>
            </w:pPr>
            <w:r>
              <w:rPr/>
              <w:t> </w:t>
            </w:r>
          </w:p>
        </w:tc>
      </w:tr>
      <w:tr>
        <w:trPr/>
        <w:tc>
          <w:tcPr>
            <w:tcW w:w="491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Assets under management (billions)</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$601.9</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$579.6</w:t>
            </w:r>
          </w:p>
        </w:tc>
        <w:tc>
          <w:tcPr>
            <w:tcW w:w="785"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4%</w:t>
            </w:r>
          </w:p>
        </w:tc>
        <w:tc>
          <w:tcPr>
            <w:tcW w:w="860" w:type="dxa"/>
            <w:tcBorders/>
            <w:vAlign w:val="center"/>
          </w:tcPr>
          <w:p>
            <w:pPr>
              <w:pStyle w:val="TableContents"/>
              <w:bidi w:val="0"/>
              <w:spacing w:before="0" w:after="283"/>
              <w:jc w:val="center"/>
              <w:rPr/>
            </w:pPr>
            <w:r>
              <w:rPr/>
              <w:t> </w:t>
            </w:r>
          </w:p>
        </w:tc>
        <w:tc>
          <w:tcPr>
            <w:tcW w:w="860" w:type="dxa"/>
            <w:tcBorders/>
            <w:vAlign w:val="center"/>
          </w:tcPr>
          <w:p>
            <w:pPr>
              <w:pStyle w:val="TableContents"/>
              <w:bidi w:val="0"/>
              <w:spacing w:before="0" w:after="283"/>
              <w:jc w:val="center"/>
              <w:rPr/>
            </w:pPr>
            <w:r>
              <w:rPr/>
              <w:t> </w:t>
            </w:r>
          </w:p>
        </w:tc>
        <w:tc>
          <w:tcPr>
            <w:tcW w:w="80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77"/>
        <w:gridCol w:w="9975"/>
      </w:tblGrid>
      <w:tr>
        <w:trPr/>
        <w:tc>
          <w:tcPr>
            <w:tcW w:w="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Symbol" w:hAnsi="Symbol"/>
                <w:sz w:val="22"/>
              </w:rPr>
            </w:pPr>
            <w:r>
              <w:rPr>
                <w:rFonts w:ascii="Symbol" w:hAnsi="Symbol"/>
                <w:sz w:val="22"/>
              </w:rPr>
              <w:t>·</w:t>
            </w:r>
          </w:p>
        </w:tc>
        <w:tc>
          <w:tcPr>
            <w:tcW w:w="9975"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b/>
                <w:sz w:val="22"/>
              </w:rPr>
              <w:t>Pre-tax operating earnings</w:t>
            </w:r>
            <w:r>
              <w:rPr>
                <w:rFonts w:ascii="Arial;Helvetica;Sans-Serif" w:hAnsi="Arial;Helvetica;Sans-Serif"/>
                <w:sz w:val="22"/>
              </w:rPr>
              <w:t xml:space="preserve"> increased $1.5 million with stable margins.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2"/>
              </w:rPr>
            </w:pPr>
            <w:r>
              <w:rPr>
                <w:rFonts w:ascii="Symbol" w:hAnsi="Symbol"/>
                <w:sz w:val="22"/>
              </w:rPr>
              <w:t>·</w:t>
            </w:r>
          </w:p>
        </w:tc>
        <w:tc>
          <w:tcPr>
            <w:tcW w:w="10043"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b/>
                <w:sz w:val="22"/>
              </w:rPr>
              <w:t>Operating revenues less pass-through expenses</w:t>
            </w:r>
            <w:r>
              <w:rPr>
                <w:rFonts w:ascii="Arial;Helvetica;Sans-Serif" w:hAnsi="Arial;Helvetica;Sans-Serif"/>
                <w:sz w:val="22"/>
              </w:rPr>
              <w:t xml:space="preserve"> increased $2.6 million primarily due to higher management fees, resulting from higher AUM, partially offset by lower performance fees.</w:t>
            </w:r>
          </w:p>
        </w:tc>
      </w:tr>
    </w:tbl>
    <w:p>
      <w:pPr>
        <w:pStyle w:val="TextBody"/>
        <w:bidi w:val="0"/>
        <w:spacing w:before="0" w:after="0"/>
        <w:jc w:val="left"/>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left"/>
        <w:rPr>
          <w:rFonts w:ascii="FS Elliot Pro" w:hAnsi="FS Elliot Pro"/>
          <w:b w:val="false"/>
          <w:i w:val="false"/>
          <w:caps w:val="false"/>
          <w:smallCaps w:val="false"/>
          <w:sz w:val="16"/>
        </w:rPr>
      </w:pPr>
      <w:r>
        <w:rPr>
          <w:rFonts w:ascii="FS Elliot Pro" w:hAnsi="FS Elliot Pro"/>
          <w:b w:val="false"/>
          <w:i w:val="false"/>
          <w:caps w:val="false"/>
          <w:smallCaps w:val="false"/>
          <w:position w:val="5"/>
          <w:sz w:val="13"/>
          <w:sz w:val="16"/>
        </w:rPr>
        <w:t>6</w:t>
      </w:r>
      <w:r>
        <w:rPr>
          <w:rFonts w:ascii="FS Elliot Pro" w:hAnsi="FS Elliot Pro"/>
          <w:b w:val="false"/>
          <w:i w:val="false"/>
          <w:caps w:val="false"/>
          <w:smallCaps w:val="false"/>
          <w:sz w:val="16"/>
        </w:rPr>
        <w:t xml:space="preserve"> Pre-tax operating earnings = operating earnings before income taxes and after noncontrolling interest.</w:t>
      </w:r>
    </w:p>
    <w:p>
      <w:pPr>
        <w:pStyle w:val="TextBody"/>
        <w:bidi w:val="0"/>
        <w:spacing w:before="0" w:after="0"/>
        <w:ind w:left="0" w:right="0" w:hanging="0"/>
        <w:jc w:val="left"/>
        <w:rPr>
          <w:rFonts w:ascii="FS Elliot Pro" w:hAnsi="FS Elliot Pro"/>
          <w:b w:val="false"/>
          <w:i w:val="false"/>
          <w:caps w:val="false"/>
          <w:smallCaps w:val="false"/>
          <w:sz w:val="16"/>
        </w:rPr>
      </w:pPr>
      <w:r>
        <w:rPr>
          <w:rFonts w:ascii="FS Elliot Pro" w:hAnsi="FS Elliot Pro"/>
          <w:b w:val="false"/>
          <w:i w:val="false"/>
          <w:caps w:val="false"/>
          <w:smallCaps w:val="false"/>
          <w:position w:val="5"/>
          <w:sz w:val="13"/>
          <w:sz w:val="16"/>
        </w:rPr>
        <w:t>7</w:t>
      </w:r>
      <w:r>
        <w:rPr>
          <w:rFonts w:ascii="FS Elliot Pro" w:hAnsi="FS Elliot Pro"/>
          <w:b w:val="false"/>
          <w:i w:val="false"/>
          <w:caps w:val="false"/>
          <w:smallCaps w:val="false"/>
          <w:sz w:val="16"/>
        </w:rPr>
        <w:t xml:space="preserve"> Net revenue = operating revenues less: benefits, claims and settlement expenses, liability for future policy benefits remeasurement (gain) loss, market risk benefit remeasurement (gain) loss, and dividends to policyholders.</w:t>
      </w:r>
    </w:p>
    <w:p>
      <w:pPr>
        <w:pStyle w:val="TextBody"/>
        <w:bidi w:val="0"/>
        <w:spacing w:before="0" w:after="0"/>
        <w:ind w:left="0" w:right="0" w:hanging="0"/>
        <w:jc w:val="left"/>
        <w:rPr>
          <w:rFonts w:ascii="FS Elliot Pro" w:hAnsi="FS Elliot Pro"/>
          <w:b w:val="false"/>
          <w:i w:val="false"/>
          <w:caps w:val="false"/>
          <w:smallCaps w:val="false"/>
          <w:sz w:val="16"/>
        </w:rPr>
      </w:pPr>
      <w:r>
        <w:rPr>
          <w:rFonts w:ascii="FS Elliot Pro" w:hAnsi="FS Elliot Pro"/>
          <w:b w:val="false"/>
          <w:i w:val="false"/>
          <w:caps w:val="false"/>
          <w:smallCaps w:val="false"/>
          <w:position w:val="5"/>
          <w:sz w:val="13"/>
          <w:sz w:val="16"/>
        </w:rPr>
        <w:t xml:space="preserve">8 </w:t>
      </w:r>
      <w:r>
        <w:rPr>
          <w:rFonts w:ascii="FS Elliot Pro" w:hAnsi="FS Elliot Pro"/>
          <w:b w:val="false"/>
          <w:i w:val="false"/>
          <w:caps w:val="false"/>
          <w:smallCaps w:val="false"/>
          <w:sz w:val="16"/>
        </w:rPr>
        <w:t>The company has provided reconciliations of the non-GAAP measures to the most directly comparable U.S. GAAP measures at the end of the release. The company has determined this measure is more representative of underlying operating revenues growth for Investment Management as it removes commissions and other expenses that are collected through fee revenue and passed through expenses with no impact to pre-tax operating earnings.</w:t>
      </w:r>
    </w:p>
    <w:p>
      <w:pPr>
        <w:pStyle w:val="TextBody"/>
        <w:bidi w:val="0"/>
        <w:spacing w:before="0" w:after="0"/>
        <w:ind w:left="0" w:right="0" w:hanging="0"/>
        <w:jc w:val="left"/>
        <w:rPr>
          <w:rFonts w:ascii="FS Elliot Pro" w:hAnsi="FS Elliot Pro"/>
          <w:b w:val="false"/>
          <w:i w:val="false"/>
          <w:caps w:val="false"/>
          <w:smallCaps w:val="false"/>
          <w:sz w:val="16"/>
        </w:rPr>
      </w:pPr>
      <w:r>
        <w:rPr>
          <w:rFonts w:ascii="FS Elliot Pro" w:hAnsi="FS Elliot Pro"/>
          <w:b w:val="false"/>
          <w:i w:val="false"/>
          <w:caps w:val="false"/>
          <w:smallCaps w:val="false"/>
          <w:sz w:val="16"/>
        </w:rPr>
        <w:t>9 Operating margin for Investment Management = pre-tax operating earnings adjusted for noncontrolling interest divided by operating revenues less pass-through expenses.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International Pension</w:t>
      </w:r>
    </w:p>
    <w:p>
      <w:pPr>
        <w:pStyle w:val="TextBody"/>
        <w:bidi w:val="0"/>
        <w:spacing w:before="0" w:after="0"/>
        <w:ind w:left="0" w:right="0" w:hanging="0"/>
        <w:jc w:val="left"/>
        <w:rPr>
          <w:caps w:val="false"/>
          <w:smallCaps w:val="false"/>
        </w:rPr>
      </w:pPr>
      <w:r>
        <w:rPr>
          <w:caps w:val="false"/>
          <w:smallCaps w:val="false"/>
        </w:rPr>
        <w:t> </w:t>
      </w:r>
    </w:p>
    <w:tbl>
      <w:tblPr>
        <w:tblW w:w="8019" w:type="dxa"/>
        <w:jc w:val="left"/>
        <w:tblInd w:w="0" w:type="dxa"/>
        <w:tblLayout w:type="fixed"/>
        <w:tblCellMar>
          <w:top w:w="0" w:type="dxa"/>
          <w:left w:w="0" w:type="dxa"/>
          <w:bottom w:w="0" w:type="dxa"/>
          <w:right w:w="0" w:type="dxa"/>
        </w:tblCellMar>
      </w:tblPr>
      <w:tblGrid>
        <w:gridCol w:w="3530"/>
        <w:gridCol w:w="680"/>
        <w:gridCol w:w="680"/>
        <w:gridCol w:w="785"/>
        <w:gridCol w:w="738"/>
        <w:gridCol w:w="738"/>
        <w:gridCol w:w="868"/>
      </w:tblGrid>
      <w:tr>
        <w:trPr/>
        <w:tc>
          <w:tcPr>
            <w:tcW w:w="3530" w:type="dxa"/>
            <w:vMerge w:val="restart"/>
            <w:tcBorders/>
            <w:shd w:fill="004C97" w:val="clear"/>
            <w:vAlign w:val="center"/>
          </w:tcPr>
          <w:p>
            <w:pPr>
              <w:pStyle w:val="TableContents"/>
              <w:bidi w:val="0"/>
              <w:spacing w:before="0" w:after="283"/>
              <w:jc w:val="left"/>
              <w:rPr/>
            </w:pPr>
            <w:r>
              <w:rPr/>
              <w:t> </w:t>
            </w:r>
          </w:p>
        </w:tc>
        <w:tc>
          <w:tcPr>
            <w:tcW w:w="2145" w:type="dxa"/>
            <w:gridSpan w:val="3"/>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Three Months Ended,</w:t>
            </w:r>
          </w:p>
        </w:tc>
        <w:tc>
          <w:tcPr>
            <w:tcW w:w="2344" w:type="dxa"/>
            <w:gridSpan w:val="3"/>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Trailing Twelve Months,</w:t>
            </w:r>
          </w:p>
        </w:tc>
      </w:tr>
      <w:tr>
        <w:trPr/>
        <w:tc>
          <w:tcPr>
            <w:tcW w:w="3530" w:type="dxa"/>
            <w:vMerge w:val="continue"/>
            <w:tcBorders/>
            <w:shd w:fill="004C97" w:val="clear"/>
            <w:vAlign w:val="center"/>
          </w:tcPr>
          <w:p>
            <w:pPr>
              <w:pStyle w:val="Normal"/>
              <w:bidi w:val="0"/>
              <w:jc w:val="left"/>
              <w:rPr/>
            </w:pPr>
            <w:r>
              <w:rPr/>
            </w:r>
          </w:p>
        </w:tc>
        <w:tc>
          <w:tcPr>
            <w:tcW w:w="680"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2Q26</w:t>
            </w:r>
          </w:p>
        </w:tc>
        <w:tc>
          <w:tcPr>
            <w:tcW w:w="680"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2Q25</w:t>
            </w:r>
          </w:p>
        </w:tc>
        <w:tc>
          <w:tcPr>
            <w:tcW w:w="785"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Change</w:t>
            </w:r>
          </w:p>
        </w:tc>
        <w:tc>
          <w:tcPr>
            <w:tcW w:w="738"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2Q26</w:t>
            </w:r>
          </w:p>
        </w:tc>
        <w:tc>
          <w:tcPr>
            <w:tcW w:w="738"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2Q25</w:t>
            </w:r>
          </w:p>
        </w:tc>
        <w:tc>
          <w:tcPr>
            <w:tcW w:w="868"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Change</w:t>
            </w:r>
          </w:p>
        </w:tc>
      </w:tr>
      <w:tr>
        <w:trPr/>
        <w:tc>
          <w:tcPr>
            <w:tcW w:w="353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 xml:space="preserve">Pre-tax operating earnings </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$97.0</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$78.5</w:t>
            </w:r>
          </w:p>
        </w:tc>
        <w:tc>
          <w:tcPr>
            <w:tcW w:w="785" w:type="dxa"/>
            <w:tcBorders/>
            <w:vAlign w:val="center"/>
          </w:tcPr>
          <w:p>
            <w:pPr>
              <w:pStyle w:val="TableContents"/>
              <w:bidi w:val="0"/>
              <w:spacing w:before="0" w:after="283"/>
              <w:jc w:val="center"/>
              <w:rPr/>
            </w:pPr>
            <w:r>
              <w:rPr/>
              <w:t> </w:t>
            </w:r>
            <w:r>
              <w:rPr>
                <w:rFonts w:ascii="Arial;Helvetica;Sans-Serif" w:hAnsi="Arial;Helvetica;Sans-Serif"/>
                <w:sz w:val="22"/>
              </w:rPr>
              <w:t>24%</w:t>
            </w:r>
          </w:p>
        </w:tc>
        <w:tc>
          <w:tcPr>
            <w:tcW w:w="738"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$346.5</w:t>
            </w:r>
          </w:p>
        </w:tc>
        <w:tc>
          <w:tcPr>
            <w:tcW w:w="738"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$311.5</w:t>
            </w:r>
          </w:p>
        </w:tc>
        <w:tc>
          <w:tcPr>
            <w:tcW w:w="868"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11%</w:t>
            </w:r>
          </w:p>
        </w:tc>
      </w:tr>
      <w:tr>
        <w:trPr/>
        <w:tc>
          <w:tcPr>
            <w:tcW w:w="353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Net revenue</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$184.8</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$159.2</w:t>
            </w:r>
          </w:p>
        </w:tc>
        <w:tc>
          <w:tcPr>
            <w:tcW w:w="785" w:type="dxa"/>
            <w:tcBorders/>
            <w:vAlign w:val="center"/>
          </w:tcPr>
          <w:p>
            <w:pPr>
              <w:pStyle w:val="TableContents"/>
              <w:bidi w:val="0"/>
              <w:spacing w:before="0" w:after="283"/>
              <w:jc w:val="center"/>
              <w:rPr/>
            </w:pPr>
            <w:r>
              <w:rPr/>
              <w:t> </w:t>
            </w:r>
            <w:r>
              <w:rPr>
                <w:rFonts w:ascii="Arial;Helvetica;Sans-Serif" w:hAnsi="Arial;Helvetica;Sans-Serif"/>
                <w:sz w:val="22"/>
              </w:rPr>
              <w:t>16%</w:t>
            </w:r>
          </w:p>
        </w:tc>
        <w:tc>
          <w:tcPr>
            <w:tcW w:w="738"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$694.1</w:t>
            </w:r>
          </w:p>
        </w:tc>
        <w:tc>
          <w:tcPr>
            <w:tcW w:w="738"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$638.1</w:t>
            </w:r>
          </w:p>
        </w:tc>
        <w:tc>
          <w:tcPr>
            <w:tcW w:w="868"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9%</w:t>
            </w:r>
          </w:p>
        </w:tc>
      </w:tr>
      <w:tr>
        <w:trPr/>
        <w:tc>
          <w:tcPr>
            <w:tcW w:w="353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Operating margin</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52.5%</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49.3%</w:t>
            </w:r>
          </w:p>
        </w:tc>
        <w:tc>
          <w:tcPr>
            <w:tcW w:w="785"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49.9%</w:t>
            </w:r>
          </w:p>
        </w:tc>
        <w:tc>
          <w:tcPr>
            <w:tcW w:w="738"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48.8%</w:t>
            </w:r>
          </w:p>
        </w:tc>
        <w:tc>
          <w:tcPr>
            <w:tcW w:w="868" w:type="dxa"/>
            <w:tcBorders/>
            <w:vAlign w:val="center"/>
          </w:tcPr>
          <w:p>
            <w:pPr>
              <w:pStyle w:val="TableContents"/>
              <w:bidi w:val="0"/>
              <w:spacing w:before="0" w:after="283"/>
              <w:jc w:val="center"/>
              <w:rPr/>
            </w:pPr>
            <w:r>
              <w:rPr/>
              <w:t> </w:t>
            </w:r>
          </w:p>
        </w:tc>
      </w:tr>
      <w:tr>
        <w:trPr/>
        <w:tc>
          <w:tcPr>
            <w:tcW w:w="353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Assets under management (billions)</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$168.5</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$143.4</w:t>
            </w:r>
          </w:p>
        </w:tc>
        <w:tc>
          <w:tcPr>
            <w:tcW w:w="785"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18%</w:t>
            </w:r>
          </w:p>
        </w:tc>
        <w:tc>
          <w:tcPr>
            <w:tcW w:w="738" w:type="dxa"/>
            <w:tcBorders/>
            <w:vAlign w:val="center"/>
          </w:tcPr>
          <w:p>
            <w:pPr>
              <w:pStyle w:val="TableContents"/>
              <w:bidi w:val="0"/>
              <w:spacing w:before="0" w:after="283"/>
              <w:jc w:val="center"/>
              <w:rPr/>
            </w:pPr>
            <w:r>
              <w:rPr/>
              <w:t> </w:t>
            </w:r>
          </w:p>
        </w:tc>
        <w:tc>
          <w:tcPr>
            <w:tcW w:w="738" w:type="dxa"/>
            <w:tcBorders/>
            <w:vAlign w:val="center"/>
          </w:tcPr>
          <w:p>
            <w:pPr>
              <w:pStyle w:val="TableContents"/>
              <w:bidi w:val="0"/>
              <w:spacing w:before="0" w:after="283"/>
              <w:jc w:val="center"/>
              <w:rPr/>
            </w:pPr>
            <w:r>
              <w:rPr/>
              <w:t> </w:t>
            </w:r>
          </w:p>
        </w:tc>
        <w:tc>
          <w:tcPr>
            <w:tcW w:w="868"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9"/>
        <w:gridCol w:w="162"/>
        <w:gridCol w:w="9994"/>
      </w:tblGrid>
      <w:tr>
        <w:trPr/>
        <w:tc>
          <w:tcPr>
            <w:tcW w:w="4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rFonts w:ascii="Symbol" w:hAnsi="Symbol"/>
                <w:sz w:val="24"/>
              </w:rPr>
            </w:pPr>
            <w:r>
              <w:rPr>
                <w:rFonts w:ascii="Symbol" w:hAnsi="Symbol"/>
                <w:sz w:val="24"/>
              </w:rPr>
              <w:t>·</w:t>
            </w:r>
          </w:p>
        </w:tc>
        <w:tc>
          <w:tcPr>
            <w:tcW w:w="9994" w:type="dxa"/>
            <w:tcBorders/>
            <w:vAlign w:val="center"/>
          </w:tcPr>
          <w:p>
            <w:pPr>
              <w:pStyle w:val="TableContents"/>
              <w:bidi w:val="0"/>
              <w:spacing w:before="0" w:after="283"/>
              <w:jc w:val="left"/>
              <w:rPr/>
            </w:pPr>
            <w:r>
              <w:rPr>
                <w:rFonts w:ascii="Arial;Helvetica;Sans-Serif" w:hAnsi="Arial;Helvetica;Sans-Serif"/>
                <w:b/>
                <w:sz w:val="22"/>
              </w:rPr>
              <w:t>Pre-tax operating earnings</w:t>
            </w:r>
            <w:r>
              <w:rPr>
                <w:rFonts w:ascii="Arial;Helvetica;Sans-Serif" w:hAnsi="Arial;Helvetica;Sans-Serif"/>
                <w:sz w:val="22"/>
              </w:rPr>
              <w:t xml:space="preserve"> increased $18.5 million due to higher net revenue</w:t>
            </w:r>
            <w:r>
              <w:rPr>
                <w:rFonts w:ascii="Arial;Helvetica;Sans-Serif" w:hAnsi="Arial;Helvetica;Sans-Serif"/>
                <w:sz w:val="20"/>
              </w:rPr>
              <w:t>.</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4"/>
              </w:rPr>
            </w:pPr>
            <w:r>
              <w:rPr>
                <w:rFonts w:ascii="Symbol" w:hAnsi="Symbol"/>
                <w:sz w:val="24"/>
              </w:rPr>
              <w:t>·</w:t>
            </w:r>
          </w:p>
        </w:tc>
        <w:tc>
          <w:tcPr>
            <w:tcW w:w="10043"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b/>
                <w:sz w:val="22"/>
              </w:rPr>
              <w:t>Net revenue</w:t>
            </w:r>
            <w:r>
              <w:rPr>
                <w:rFonts w:ascii="Arial;Helvetica;Sans-Serif" w:hAnsi="Arial;Helvetica;Sans-Serif"/>
                <w:sz w:val="22"/>
              </w:rPr>
              <w:t xml:space="preserve"> increased $25.6 million primarily due to more favorable encaje returns and foreign currency tailwinds.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Specialty Benefits</w:t>
      </w:r>
    </w:p>
    <w:p>
      <w:pPr>
        <w:pStyle w:val="TextBody"/>
        <w:bidi w:val="0"/>
        <w:spacing w:before="0" w:after="0"/>
        <w:ind w:left="0" w:right="0" w:hanging="0"/>
        <w:jc w:val="left"/>
        <w:rPr>
          <w:caps w:val="false"/>
          <w:smallCaps w:val="false"/>
        </w:rPr>
      </w:pPr>
      <w:r>
        <w:rPr>
          <w:caps w:val="false"/>
          <w:smallCaps w:val="false"/>
        </w:rPr>
        <w:t> </w:t>
      </w:r>
    </w:p>
    <w:tbl>
      <w:tblPr>
        <w:tblW w:w="7340" w:type="dxa"/>
        <w:jc w:val="left"/>
        <w:tblInd w:w="0" w:type="dxa"/>
        <w:tblLayout w:type="fixed"/>
        <w:tblCellMar>
          <w:top w:w="0" w:type="dxa"/>
          <w:left w:w="0" w:type="dxa"/>
          <w:bottom w:w="0" w:type="dxa"/>
          <w:right w:w="0" w:type="dxa"/>
        </w:tblCellMar>
      </w:tblPr>
      <w:tblGrid>
        <w:gridCol w:w="2675"/>
        <w:gridCol w:w="680"/>
        <w:gridCol w:w="680"/>
        <w:gridCol w:w="785"/>
        <w:gridCol w:w="860"/>
        <w:gridCol w:w="860"/>
        <w:gridCol w:w="800"/>
      </w:tblGrid>
      <w:tr>
        <w:trPr/>
        <w:tc>
          <w:tcPr>
            <w:tcW w:w="2675" w:type="dxa"/>
            <w:vMerge w:val="restart"/>
            <w:tcBorders/>
            <w:shd w:fill="004C97" w:val="clear"/>
            <w:vAlign w:val="center"/>
          </w:tcPr>
          <w:p>
            <w:pPr>
              <w:pStyle w:val="TableContents"/>
              <w:bidi w:val="0"/>
              <w:spacing w:before="0" w:after="283"/>
              <w:jc w:val="left"/>
              <w:rPr/>
            </w:pPr>
            <w:r>
              <w:rPr/>
              <w:t> </w:t>
            </w:r>
          </w:p>
        </w:tc>
        <w:tc>
          <w:tcPr>
            <w:tcW w:w="2145" w:type="dxa"/>
            <w:gridSpan w:val="3"/>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Three Months Ended,</w:t>
            </w:r>
          </w:p>
        </w:tc>
        <w:tc>
          <w:tcPr>
            <w:tcW w:w="2520" w:type="dxa"/>
            <w:gridSpan w:val="3"/>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Trailing Twelve Months,</w:t>
            </w:r>
          </w:p>
        </w:tc>
      </w:tr>
      <w:tr>
        <w:trPr/>
        <w:tc>
          <w:tcPr>
            <w:tcW w:w="2675" w:type="dxa"/>
            <w:vMerge w:val="continue"/>
            <w:tcBorders/>
            <w:shd w:fill="004C97" w:val="clear"/>
            <w:vAlign w:val="center"/>
          </w:tcPr>
          <w:p>
            <w:pPr>
              <w:pStyle w:val="Normal"/>
              <w:bidi w:val="0"/>
              <w:jc w:val="left"/>
              <w:rPr/>
            </w:pPr>
            <w:r>
              <w:rPr/>
            </w:r>
          </w:p>
        </w:tc>
        <w:tc>
          <w:tcPr>
            <w:tcW w:w="680"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2Q26</w:t>
            </w:r>
          </w:p>
        </w:tc>
        <w:tc>
          <w:tcPr>
            <w:tcW w:w="680"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2Q25</w:t>
            </w:r>
          </w:p>
        </w:tc>
        <w:tc>
          <w:tcPr>
            <w:tcW w:w="785"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Change</w:t>
            </w:r>
          </w:p>
        </w:tc>
        <w:tc>
          <w:tcPr>
            <w:tcW w:w="860"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2Q26</w:t>
            </w:r>
          </w:p>
        </w:tc>
        <w:tc>
          <w:tcPr>
            <w:tcW w:w="860"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2Q25</w:t>
            </w:r>
          </w:p>
        </w:tc>
        <w:tc>
          <w:tcPr>
            <w:tcW w:w="800"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Change</w:t>
            </w:r>
          </w:p>
        </w:tc>
      </w:tr>
      <w:tr>
        <w:trPr/>
        <w:tc>
          <w:tcPr>
            <w:tcW w:w="2675"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 xml:space="preserve">Pre-tax operating earnings </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$158.9</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$127.6</w:t>
            </w:r>
          </w:p>
        </w:tc>
        <w:tc>
          <w:tcPr>
            <w:tcW w:w="785" w:type="dxa"/>
            <w:tcBorders/>
            <w:vAlign w:val="center"/>
          </w:tcPr>
          <w:p>
            <w:pPr>
              <w:pStyle w:val="TableContents"/>
              <w:bidi w:val="0"/>
              <w:spacing w:before="0" w:after="283"/>
              <w:jc w:val="center"/>
              <w:rPr/>
            </w:pPr>
            <w:r>
              <w:rPr/>
              <w:t> </w:t>
            </w:r>
            <w:r>
              <w:rPr>
                <w:rFonts w:ascii="Arial;Helvetica;Sans-Serif" w:hAnsi="Arial;Helvetica;Sans-Serif"/>
                <w:sz w:val="22"/>
              </w:rPr>
              <w:t>25%</w:t>
            </w:r>
          </w:p>
        </w:tc>
        <w:tc>
          <w:tcPr>
            <w:tcW w:w="86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$593.3</w:t>
            </w:r>
          </w:p>
        </w:tc>
        <w:tc>
          <w:tcPr>
            <w:tcW w:w="86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$482.7</w:t>
            </w:r>
          </w:p>
        </w:tc>
        <w:tc>
          <w:tcPr>
            <w:tcW w:w="80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23%</w:t>
            </w:r>
          </w:p>
        </w:tc>
      </w:tr>
      <w:tr>
        <w:trPr/>
        <w:tc>
          <w:tcPr>
            <w:tcW w:w="2675"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Premium and fees</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$873.3</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$840.2</w:t>
            </w:r>
          </w:p>
        </w:tc>
        <w:tc>
          <w:tcPr>
            <w:tcW w:w="785" w:type="dxa"/>
            <w:tcBorders/>
            <w:vAlign w:val="center"/>
          </w:tcPr>
          <w:p>
            <w:pPr>
              <w:pStyle w:val="TableContents"/>
              <w:bidi w:val="0"/>
              <w:spacing w:before="0" w:after="283"/>
              <w:jc w:val="center"/>
              <w:rPr/>
            </w:pPr>
            <w:r>
              <w:rPr/>
              <w:t> </w:t>
            </w:r>
            <w:r>
              <w:rPr>
                <w:rFonts w:ascii="Arial;Helvetica;Sans-Serif" w:hAnsi="Arial;Helvetica;Sans-Serif"/>
                <w:sz w:val="22"/>
              </w:rPr>
              <w:t>4%</w:t>
            </w:r>
          </w:p>
        </w:tc>
        <w:tc>
          <w:tcPr>
            <w:tcW w:w="86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$3,425.7</w:t>
            </w:r>
          </w:p>
        </w:tc>
        <w:tc>
          <w:tcPr>
            <w:tcW w:w="86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$3,314.1</w:t>
            </w:r>
          </w:p>
        </w:tc>
        <w:tc>
          <w:tcPr>
            <w:tcW w:w="80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3%</w:t>
            </w:r>
          </w:p>
        </w:tc>
      </w:tr>
      <w:tr>
        <w:trPr/>
        <w:tc>
          <w:tcPr>
            <w:tcW w:w="2675"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Operating margin</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18.2%</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15.2%</w:t>
            </w:r>
          </w:p>
        </w:tc>
        <w:tc>
          <w:tcPr>
            <w:tcW w:w="78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17.3%</w:t>
            </w:r>
          </w:p>
        </w:tc>
        <w:tc>
          <w:tcPr>
            <w:tcW w:w="86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14.6%</w:t>
            </w:r>
          </w:p>
        </w:tc>
        <w:tc>
          <w:tcPr>
            <w:tcW w:w="800" w:type="dxa"/>
            <w:tcBorders/>
            <w:vAlign w:val="center"/>
          </w:tcPr>
          <w:p>
            <w:pPr>
              <w:pStyle w:val="TableContents"/>
              <w:bidi w:val="0"/>
              <w:spacing w:before="0" w:after="283"/>
              <w:jc w:val="center"/>
              <w:rPr/>
            </w:pPr>
            <w:r>
              <w:rPr/>
              <w:t> </w:t>
            </w:r>
          </w:p>
        </w:tc>
      </w:tr>
      <w:tr>
        <w:trPr/>
        <w:tc>
          <w:tcPr>
            <w:tcW w:w="2675"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Incurred loss ratio</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57.4%</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60.2%</w:t>
            </w:r>
          </w:p>
        </w:tc>
        <w:tc>
          <w:tcPr>
            <w:tcW w:w="785" w:type="dxa"/>
            <w:tcBorders/>
            <w:vAlign w:val="center"/>
          </w:tcPr>
          <w:p>
            <w:pPr>
              <w:pStyle w:val="TableContents"/>
              <w:bidi w:val="0"/>
              <w:spacing w:before="0" w:after="283"/>
              <w:jc w:val="center"/>
              <w:rPr/>
            </w:pPr>
            <w:r>
              <w:rPr/>
              <w:t> </w:t>
            </w:r>
          </w:p>
        </w:tc>
        <w:tc>
          <w:tcPr>
            <w:tcW w:w="86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57.5%</w:t>
            </w:r>
          </w:p>
        </w:tc>
        <w:tc>
          <w:tcPr>
            <w:tcW w:w="86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60.0%</w:t>
            </w:r>
          </w:p>
        </w:tc>
        <w:tc>
          <w:tcPr>
            <w:tcW w:w="80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4"/>
              </w:rPr>
            </w:pPr>
            <w:r>
              <w:rPr>
                <w:rFonts w:ascii="Symbol" w:hAnsi="Symbol"/>
                <w:sz w:val="24"/>
              </w:rPr>
              <w:t>·</w:t>
            </w:r>
          </w:p>
        </w:tc>
        <w:tc>
          <w:tcPr>
            <w:tcW w:w="10043"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b/>
                <w:sz w:val="22"/>
              </w:rPr>
              <w:t>Pre-tax operating earnings</w:t>
            </w:r>
            <w:r>
              <w:rPr>
                <w:rFonts w:ascii="Arial;Helvetica;Sans-Serif" w:hAnsi="Arial;Helvetica;Sans-Serif"/>
                <w:sz w:val="22"/>
              </w:rPr>
              <w:t xml:space="preserve"> increased $31.3 million primarily due to more favorable underwriting and premium growth.</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173"/>
        <w:gridCol w:w="9980"/>
      </w:tblGrid>
      <w:tr>
        <w:trPr/>
        <w:tc>
          <w:tcPr>
            <w:tcW w:w="5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rFonts w:ascii="Symbol" w:hAnsi="Symbol"/>
                <w:sz w:val="24"/>
              </w:rPr>
            </w:pPr>
            <w:r>
              <w:rPr>
                <w:rFonts w:ascii="Symbol" w:hAnsi="Symbol"/>
                <w:sz w:val="24"/>
              </w:rPr>
              <w:t>·</w:t>
            </w:r>
          </w:p>
        </w:tc>
        <w:tc>
          <w:tcPr>
            <w:tcW w:w="9980" w:type="dxa"/>
            <w:tcBorders/>
            <w:vAlign w:val="center"/>
          </w:tcPr>
          <w:p>
            <w:pPr>
              <w:pStyle w:val="TableContents"/>
              <w:bidi w:val="0"/>
              <w:spacing w:before="0" w:after="283"/>
              <w:jc w:val="left"/>
              <w:rPr>
                <w:sz w:val="22"/>
              </w:rPr>
            </w:pPr>
            <w:r>
              <w:rPr>
                <w:b/>
                <w:sz w:val="22"/>
              </w:rPr>
              <w:t>Premium and fees</w:t>
            </w:r>
            <w:r>
              <w:rPr>
                <w:sz w:val="22"/>
              </w:rPr>
              <w:t xml:space="preserve"> increased $33.1 million driven by growth in the business.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4"/>
              </w:rPr>
            </w:pPr>
            <w:r>
              <w:rPr>
                <w:rFonts w:ascii="Symbol" w:hAnsi="Symbol"/>
                <w:sz w:val="24"/>
              </w:rPr>
              <w:t>·</w:t>
            </w:r>
          </w:p>
        </w:tc>
        <w:tc>
          <w:tcPr>
            <w:tcW w:w="10043" w:type="dxa"/>
            <w:tcBorders/>
            <w:vAlign w:val="center"/>
          </w:tcPr>
          <w:p>
            <w:pPr>
              <w:pStyle w:val="TableContents"/>
              <w:bidi w:val="0"/>
              <w:spacing w:before="0" w:after="283"/>
              <w:jc w:val="left"/>
              <w:rPr/>
            </w:pPr>
            <w:r>
              <w:rPr>
                <w:b/>
              </w:rPr>
              <w:t>Incurred loss ratio</w:t>
            </w:r>
            <w:r>
              <w:rPr/>
              <w:t xml:space="preserve"> improved to 57.4% and was below targeted range with improved results across all products.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Life Insurance</w:t>
      </w:r>
    </w:p>
    <w:p>
      <w:pPr>
        <w:pStyle w:val="TextBody"/>
        <w:bidi w:val="0"/>
        <w:spacing w:before="0" w:after="0"/>
        <w:ind w:left="0" w:right="0" w:hanging="0"/>
        <w:jc w:val="left"/>
        <w:rPr>
          <w:caps w:val="false"/>
          <w:smallCaps w:val="false"/>
        </w:rPr>
      </w:pPr>
      <w:r>
        <w:rPr>
          <w:caps w:val="false"/>
          <w:smallCaps w:val="false"/>
        </w:rPr>
        <w:t> </w:t>
      </w:r>
    </w:p>
    <w:tbl>
      <w:tblPr>
        <w:tblW w:w="7164" w:type="dxa"/>
        <w:jc w:val="left"/>
        <w:tblInd w:w="0" w:type="dxa"/>
        <w:tblLayout w:type="fixed"/>
        <w:tblCellMar>
          <w:top w:w="0" w:type="dxa"/>
          <w:left w:w="0" w:type="dxa"/>
          <w:bottom w:w="0" w:type="dxa"/>
          <w:right w:w="0" w:type="dxa"/>
        </w:tblCellMar>
      </w:tblPr>
      <w:tblGrid>
        <w:gridCol w:w="2675"/>
        <w:gridCol w:w="680"/>
        <w:gridCol w:w="680"/>
        <w:gridCol w:w="785"/>
        <w:gridCol w:w="738"/>
        <w:gridCol w:w="738"/>
        <w:gridCol w:w="868"/>
      </w:tblGrid>
      <w:tr>
        <w:trPr/>
        <w:tc>
          <w:tcPr>
            <w:tcW w:w="2675" w:type="dxa"/>
            <w:vMerge w:val="restart"/>
            <w:tcBorders/>
            <w:shd w:fill="004C97" w:val="clear"/>
            <w:vAlign w:val="center"/>
          </w:tcPr>
          <w:p>
            <w:pPr>
              <w:pStyle w:val="TableContents"/>
              <w:bidi w:val="0"/>
              <w:spacing w:before="0" w:after="283"/>
              <w:jc w:val="left"/>
              <w:rPr/>
            </w:pPr>
            <w:r>
              <w:rPr/>
              <w:t> </w:t>
            </w:r>
          </w:p>
        </w:tc>
        <w:tc>
          <w:tcPr>
            <w:tcW w:w="2145" w:type="dxa"/>
            <w:gridSpan w:val="3"/>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Three Months Ended,</w:t>
            </w:r>
          </w:p>
        </w:tc>
        <w:tc>
          <w:tcPr>
            <w:tcW w:w="2344" w:type="dxa"/>
            <w:gridSpan w:val="3"/>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Trailing Twelve Months,</w:t>
            </w:r>
          </w:p>
        </w:tc>
      </w:tr>
      <w:tr>
        <w:trPr/>
        <w:tc>
          <w:tcPr>
            <w:tcW w:w="2675" w:type="dxa"/>
            <w:vMerge w:val="continue"/>
            <w:tcBorders/>
            <w:shd w:fill="004C97" w:val="clear"/>
            <w:vAlign w:val="center"/>
          </w:tcPr>
          <w:p>
            <w:pPr>
              <w:pStyle w:val="Normal"/>
              <w:bidi w:val="0"/>
              <w:jc w:val="left"/>
              <w:rPr/>
            </w:pPr>
            <w:r>
              <w:rPr/>
            </w:r>
          </w:p>
        </w:tc>
        <w:tc>
          <w:tcPr>
            <w:tcW w:w="680"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2Q26</w:t>
            </w:r>
          </w:p>
        </w:tc>
        <w:tc>
          <w:tcPr>
            <w:tcW w:w="680"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2Q25</w:t>
            </w:r>
          </w:p>
        </w:tc>
        <w:tc>
          <w:tcPr>
            <w:tcW w:w="785"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Change</w:t>
            </w:r>
          </w:p>
        </w:tc>
        <w:tc>
          <w:tcPr>
            <w:tcW w:w="738"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2Q26</w:t>
            </w:r>
          </w:p>
        </w:tc>
        <w:tc>
          <w:tcPr>
            <w:tcW w:w="738"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2Q25</w:t>
            </w:r>
          </w:p>
        </w:tc>
        <w:tc>
          <w:tcPr>
            <w:tcW w:w="868"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Change</w:t>
            </w:r>
          </w:p>
        </w:tc>
      </w:tr>
      <w:tr>
        <w:trPr/>
        <w:tc>
          <w:tcPr>
            <w:tcW w:w="2675"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 xml:space="preserve">Pre-tax operating earnings </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$25.2</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$20.0</w:t>
            </w:r>
          </w:p>
        </w:tc>
        <w:tc>
          <w:tcPr>
            <w:tcW w:w="785" w:type="dxa"/>
            <w:tcBorders/>
            <w:vAlign w:val="center"/>
          </w:tcPr>
          <w:p>
            <w:pPr>
              <w:pStyle w:val="TableContents"/>
              <w:bidi w:val="0"/>
              <w:spacing w:before="0" w:after="283"/>
              <w:jc w:val="center"/>
              <w:rPr/>
            </w:pPr>
            <w:r>
              <w:rPr/>
              <w:t> </w:t>
            </w:r>
            <w:r>
              <w:rPr>
                <w:rFonts w:ascii="Arial;Helvetica;Sans-Serif" w:hAnsi="Arial;Helvetica;Sans-Serif"/>
                <w:sz w:val="22"/>
              </w:rPr>
              <w:t>26%</w:t>
            </w:r>
          </w:p>
        </w:tc>
        <w:tc>
          <w:tcPr>
            <w:tcW w:w="738"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$16.9</w:t>
            </w:r>
          </w:p>
        </w:tc>
        <w:tc>
          <w:tcPr>
            <w:tcW w:w="738"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$3.5</w:t>
            </w:r>
          </w:p>
        </w:tc>
        <w:tc>
          <w:tcPr>
            <w:tcW w:w="868"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383%</w:t>
            </w:r>
          </w:p>
        </w:tc>
      </w:tr>
      <w:tr>
        <w:trPr/>
        <w:tc>
          <w:tcPr>
            <w:tcW w:w="2675"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Premium and fees</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$224.1</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$238.0</w:t>
            </w:r>
          </w:p>
        </w:tc>
        <w:tc>
          <w:tcPr>
            <w:tcW w:w="785" w:type="dxa"/>
            <w:tcBorders/>
            <w:vAlign w:val="center"/>
          </w:tcPr>
          <w:p>
            <w:pPr>
              <w:pStyle w:val="TableContents"/>
              <w:bidi w:val="0"/>
              <w:spacing w:before="0" w:after="283"/>
              <w:jc w:val="center"/>
              <w:rPr/>
            </w:pPr>
            <w:r>
              <w:rPr/>
              <w:t> </w:t>
            </w:r>
            <w:r>
              <w:rPr>
                <w:rFonts w:ascii="Arial;Helvetica;Sans-Serif" w:hAnsi="Arial;Helvetica;Sans-Serif"/>
                <w:sz w:val="22"/>
              </w:rPr>
              <w:t>(6)%</w:t>
            </w:r>
          </w:p>
        </w:tc>
        <w:tc>
          <w:tcPr>
            <w:tcW w:w="738"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$947.8</w:t>
            </w:r>
          </w:p>
        </w:tc>
        <w:tc>
          <w:tcPr>
            <w:tcW w:w="738"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$939.6</w:t>
            </w:r>
          </w:p>
        </w:tc>
        <w:tc>
          <w:tcPr>
            <w:tcW w:w="868"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w:t>
            </w:r>
          </w:p>
        </w:tc>
      </w:tr>
      <w:tr>
        <w:trPr/>
        <w:tc>
          <w:tcPr>
            <w:tcW w:w="2675"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Operating margin</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11.2%</w:t>
            </w:r>
          </w:p>
        </w:tc>
        <w:tc>
          <w:tcPr>
            <w:tcW w:w="68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8.4%</w:t>
            </w:r>
          </w:p>
        </w:tc>
        <w:tc>
          <w:tcPr>
            <w:tcW w:w="785" w:type="dxa"/>
            <w:tcBorders/>
            <w:vAlign w:val="center"/>
          </w:tcPr>
          <w:p>
            <w:pPr>
              <w:pStyle w:val="TableContents"/>
              <w:bidi w:val="0"/>
              <w:spacing w:before="0" w:after="283"/>
              <w:jc w:val="left"/>
              <w:rPr/>
            </w:pPr>
            <w:r>
              <w:rPr/>
              <w:t> </w:t>
            </w:r>
          </w:p>
        </w:tc>
        <w:tc>
          <w:tcPr>
            <w:tcW w:w="738"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1.8%</w:t>
            </w:r>
          </w:p>
        </w:tc>
        <w:tc>
          <w:tcPr>
            <w:tcW w:w="738"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0.4%</w:t>
            </w:r>
          </w:p>
        </w:tc>
        <w:tc>
          <w:tcPr>
            <w:tcW w:w="868"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213" w:type="dxa"/>
        <w:jc w:val="left"/>
        <w:tblInd w:w="0" w:type="dxa"/>
        <w:tblLayout w:type="fixed"/>
        <w:tblCellMar>
          <w:top w:w="0" w:type="dxa"/>
          <w:left w:w="0" w:type="dxa"/>
          <w:bottom w:w="0" w:type="dxa"/>
          <w:right w:w="0" w:type="dxa"/>
        </w:tblCellMar>
      </w:tblPr>
      <w:tblGrid>
        <w:gridCol w:w="38"/>
        <w:gridCol w:w="125"/>
        <w:gridCol w:w="9050"/>
      </w:tblGrid>
      <w:tr>
        <w:trPr/>
        <w:tc>
          <w:tcPr>
            <w:tcW w:w="3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4"/>
              </w:rPr>
            </w:pPr>
            <w:r>
              <w:rPr>
                <w:rFonts w:ascii="Symbol" w:hAnsi="Symbol"/>
                <w:sz w:val="24"/>
              </w:rPr>
              <w:t>·</w:t>
            </w:r>
          </w:p>
        </w:tc>
        <w:tc>
          <w:tcPr>
            <w:tcW w:w="905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b/>
                <w:sz w:val="22"/>
              </w:rPr>
              <w:t>Pre-tax operating earnings</w:t>
            </w:r>
            <w:r>
              <w:rPr>
                <w:rFonts w:ascii="Arial;Helvetica;Sans-Serif" w:hAnsi="Arial;Helvetica;Sans-Serif"/>
                <w:sz w:val="22"/>
              </w:rPr>
              <w:t xml:space="preserve"> increased $5.2 million driven by improved mortality experience. </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4"/>
              </w:rPr>
            </w:pPr>
            <w:r>
              <w:rPr>
                <w:rFonts w:ascii="Symbol" w:hAnsi="Symbol"/>
                <w:sz w:val="24"/>
              </w:rPr>
              <w:t>·</w:t>
            </w:r>
          </w:p>
        </w:tc>
        <w:tc>
          <w:tcPr>
            <w:tcW w:w="10043"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b/>
                <w:sz w:val="22"/>
              </w:rPr>
              <w:t>Premium and fees</w:t>
            </w:r>
            <w:r>
              <w:rPr>
                <w:rFonts w:ascii="Arial;Helvetica;Sans-Serif" w:hAnsi="Arial;Helvetica;Sans-Serif"/>
                <w:sz w:val="22"/>
              </w:rPr>
              <w:t xml:space="preserve"> decreased $13.9 million primarily due to movement of a subsidiary supporting enterprise distribution to Corporate.</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Corporate</w:t>
      </w:r>
    </w:p>
    <w:p>
      <w:pPr>
        <w:pStyle w:val="TextBody"/>
        <w:bidi w:val="0"/>
        <w:spacing w:before="0" w:after="0"/>
        <w:ind w:left="0" w:right="0" w:hanging="0"/>
        <w:jc w:val="left"/>
        <w:rPr>
          <w:caps w:val="false"/>
          <w:smallCaps w:val="false"/>
        </w:rPr>
      </w:pPr>
      <w:r>
        <w:rPr>
          <w:caps w:val="false"/>
          <w:smallCaps w:val="false"/>
        </w:rPr>
        <w:t> </w:t>
      </w:r>
    </w:p>
    <w:tbl>
      <w:tblPr>
        <w:tblW w:w="7085" w:type="dxa"/>
        <w:jc w:val="left"/>
        <w:tblInd w:w="0" w:type="dxa"/>
        <w:tblLayout w:type="fixed"/>
        <w:tblCellMar>
          <w:top w:w="0" w:type="dxa"/>
          <w:left w:w="0" w:type="dxa"/>
          <w:bottom w:w="0" w:type="dxa"/>
          <w:right w:w="0" w:type="dxa"/>
        </w:tblCellMar>
      </w:tblPr>
      <w:tblGrid>
        <w:gridCol w:w="2420"/>
        <w:gridCol w:w="710"/>
        <w:gridCol w:w="710"/>
        <w:gridCol w:w="785"/>
        <w:gridCol w:w="830"/>
        <w:gridCol w:w="830"/>
        <w:gridCol w:w="800"/>
      </w:tblGrid>
      <w:tr>
        <w:trPr/>
        <w:tc>
          <w:tcPr>
            <w:tcW w:w="2420" w:type="dxa"/>
            <w:vMerge w:val="restart"/>
            <w:tcBorders/>
            <w:shd w:fill="004C97" w:val="clear"/>
            <w:vAlign w:val="center"/>
          </w:tcPr>
          <w:p>
            <w:pPr>
              <w:pStyle w:val="TableContents"/>
              <w:bidi w:val="0"/>
              <w:spacing w:before="0" w:after="283"/>
              <w:jc w:val="left"/>
              <w:rPr/>
            </w:pPr>
            <w:r>
              <w:rPr/>
              <w:t> </w:t>
            </w:r>
          </w:p>
        </w:tc>
        <w:tc>
          <w:tcPr>
            <w:tcW w:w="2205" w:type="dxa"/>
            <w:gridSpan w:val="3"/>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Three Months Ended,</w:t>
            </w:r>
          </w:p>
        </w:tc>
        <w:tc>
          <w:tcPr>
            <w:tcW w:w="2460" w:type="dxa"/>
            <w:gridSpan w:val="3"/>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Trailing Twelve Months,</w:t>
            </w:r>
          </w:p>
        </w:tc>
      </w:tr>
      <w:tr>
        <w:trPr/>
        <w:tc>
          <w:tcPr>
            <w:tcW w:w="2420" w:type="dxa"/>
            <w:vMerge w:val="continue"/>
            <w:tcBorders/>
            <w:shd w:fill="004C97" w:val="clear"/>
            <w:vAlign w:val="center"/>
          </w:tcPr>
          <w:p>
            <w:pPr>
              <w:pStyle w:val="Normal"/>
              <w:bidi w:val="0"/>
              <w:jc w:val="left"/>
              <w:rPr/>
            </w:pPr>
            <w:r>
              <w:rPr/>
            </w:r>
          </w:p>
        </w:tc>
        <w:tc>
          <w:tcPr>
            <w:tcW w:w="710"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2Q26</w:t>
            </w:r>
          </w:p>
        </w:tc>
        <w:tc>
          <w:tcPr>
            <w:tcW w:w="710"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2Q25</w:t>
            </w:r>
          </w:p>
        </w:tc>
        <w:tc>
          <w:tcPr>
            <w:tcW w:w="785"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Change</w:t>
            </w:r>
          </w:p>
        </w:tc>
        <w:tc>
          <w:tcPr>
            <w:tcW w:w="830"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2Q26</w:t>
            </w:r>
          </w:p>
        </w:tc>
        <w:tc>
          <w:tcPr>
            <w:tcW w:w="830"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2Q25</w:t>
            </w:r>
          </w:p>
        </w:tc>
        <w:tc>
          <w:tcPr>
            <w:tcW w:w="800" w:type="dxa"/>
            <w:tcBorders/>
            <w:shd w:fill="004C97" w:val="clear"/>
            <w:vAlign w:val="center"/>
          </w:tcPr>
          <w:p>
            <w:pPr>
              <w:pStyle w:val="TableContents"/>
              <w:bidi w:val="0"/>
              <w:spacing w:before="0" w:after="283"/>
              <w:jc w:val="center"/>
              <w:rPr>
                <w:rFonts w:ascii="Arial;Helvetica;Sans-Serif" w:hAnsi="Arial;Helvetica;Sans-Serif"/>
                <w:color w:val="FFFFFF"/>
                <w:sz w:val="22"/>
              </w:rPr>
            </w:pPr>
            <w:r>
              <w:rPr>
                <w:rFonts w:ascii="Arial;Helvetica;Sans-Serif" w:hAnsi="Arial;Helvetica;Sans-Serif"/>
                <w:color w:val="FFFFFF"/>
                <w:sz w:val="22"/>
              </w:rPr>
              <w:t>Change</w:t>
            </w:r>
          </w:p>
        </w:tc>
      </w:tr>
      <w:tr>
        <w:trPr/>
        <w:tc>
          <w:tcPr>
            <w:tcW w:w="2420"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Pre-tax operating losses</w:t>
            </w:r>
          </w:p>
        </w:tc>
        <w:tc>
          <w:tcPr>
            <w:tcW w:w="71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$(95.0)</w:t>
            </w:r>
          </w:p>
        </w:tc>
        <w:tc>
          <w:tcPr>
            <w:tcW w:w="71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$(81.2)</w:t>
            </w:r>
          </w:p>
        </w:tc>
        <w:tc>
          <w:tcPr>
            <w:tcW w:w="785" w:type="dxa"/>
            <w:tcBorders/>
            <w:vAlign w:val="center"/>
          </w:tcPr>
          <w:p>
            <w:pPr>
              <w:pStyle w:val="TableContents"/>
              <w:bidi w:val="0"/>
              <w:spacing w:before="0" w:after="283"/>
              <w:jc w:val="center"/>
              <w:rPr/>
            </w:pPr>
            <w:r>
              <w:rPr/>
              <w:t> </w:t>
            </w:r>
            <w:r>
              <w:rPr>
                <w:rFonts w:ascii="Arial;Helvetica;Sans-Serif" w:hAnsi="Arial;Helvetica;Sans-Serif"/>
                <w:sz w:val="22"/>
              </w:rPr>
              <w:t>(17)%</w:t>
            </w:r>
          </w:p>
        </w:tc>
        <w:tc>
          <w:tcPr>
            <w:tcW w:w="83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$(411.5)</w:t>
            </w:r>
          </w:p>
        </w:tc>
        <w:tc>
          <w:tcPr>
            <w:tcW w:w="83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$(370.1)</w:t>
            </w:r>
          </w:p>
        </w:tc>
        <w:tc>
          <w:tcPr>
            <w:tcW w:w="800" w:type="dxa"/>
            <w:tcBorders/>
            <w:vAlign w:val="center"/>
          </w:tcPr>
          <w:p>
            <w:pPr>
              <w:pStyle w:val="TableContents"/>
              <w:bidi w:val="0"/>
              <w:spacing w:before="0" w:after="283"/>
              <w:jc w:val="center"/>
              <w:rPr>
                <w:rFonts w:ascii="Arial;Helvetica;Sans-Serif" w:hAnsi="Arial;Helvetica;Sans-Serif"/>
                <w:sz w:val="22"/>
              </w:rPr>
            </w:pPr>
            <w:r>
              <w:rPr>
                <w:rFonts w:ascii="Arial;Helvetica;Sans-Serif" w:hAnsi="Arial;Helvetica;Sans-Serif"/>
                <w:sz w:val="22"/>
              </w:rPr>
              <w:t>(11)%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67"/>
        <w:gridCol w:w="9988"/>
      </w:tblGrid>
      <w:tr>
        <w:trPr/>
        <w:tc>
          <w:tcPr>
            <w:tcW w:w="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rFonts w:ascii="Symbol" w:hAnsi="Symbol"/>
                <w:sz w:val="24"/>
              </w:rPr>
            </w:pPr>
            <w:r>
              <w:rPr>
                <w:rFonts w:ascii="Symbol" w:hAnsi="Symbol"/>
                <w:sz w:val="24"/>
              </w:rPr>
              <w:t>·</w:t>
            </w:r>
          </w:p>
        </w:tc>
        <w:tc>
          <w:tcPr>
            <w:tcW w:w="9988"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b/>
                <w:sz w:val="22"/>
              </w:rPr>
              <w:t>Pre-tax operating losses</w:t>
            </w:r>
            <w:r>
              <w:rPr>
                <w:rFonts w:ascii="Arial;Helvetica;Sans-Serif" w:hAnsi="Arial;Helvetica;Sans-Serif"/>
                <w:sz w:val="22"/>
              </w:rPr>
              <w:t xml:space="preserve"> increased $13.8 million due to timing of expenses.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color w:val="004C97"/>
        </w:rPr>
      </w:pPr>
      <w:r>
        <w:rPr>
          <w:caps w:val="false"/>
          <w:smallCaps w:val="false"/>
          <w:color w:val="004C97"/>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Common Stock Dividend</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2"/>
              </w:rPr>
            </w:pPr>
            <w:r>
              <w:rPr>
                <w:rFonts w:ascii="Symbol" w:hAnsi="Symbol"/>
                <w:sz w:val="22"/>
              </w:rPr>
              <w:t>·</w:t>
            </w:r>
          </w:p>
        </w:tc>
        <w:tc>
          <w:tcPr>
            <w:tcW w:w="10043"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Announced a third quarter cash dividend of $0.84 per share to holders of common shares. This represents a 2- cent increase over second quarter of 2026 and an 8% increase over the prior year quarter.</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2"/>
              </w:rPr>
            </w:pPr>
            <w:r>
              <w:rPr>
                <w:rFonts w:ascii="Symbol" w:hAnsi="Symbol"/>
                <w:sz w:val="22"/>
              </w:rPr>
              <w:t>·</w:t>
            </w:r>
          </w:p>
        </w:tc>
        <w:tc>
          <w:tcPr>
            <w:tcW w:w="10043" w:type="dxa"/>
            <w:tcBorders/>
            <w:vAlign w:val="center"/>
          </w:tcPr>
          <w:p>
            <w:pPr>
              <w:pStyle w:val="TableContents"/>
              <w:bidi w:val="0"/>
              <w:spacing w:before="0" w:after="283"/>
              <w:jc w:val="left"/>
              <w:rPr>
                <w:rFonts w:ascii="Arial;Helvetica;Sans-Serif" w:hAnsi="Arial;Helvetica;Sans-Serif"/>
                <w:sz w:val="22"/>
              </w:rPr>
            </w:pPr>
            <w:r>
              <w:rPr>
                <w:rFonts w:ascii="Arial;Helvetica;Sans-Serif" w:hAnsi="Arial;Helvetica;Sans-Serif"/>
                <w:sz w:val="22"/>
              </w:rPr>
              <w:t>The third quarter dividend will be payable on September 25, 2026, to shareholders of record as of September 3, 2026.</w:t>
            </w:r>
          </w:p>
        </w:tc>
      </w:tr>
    </w:tbl>
    <w:p>
      <w:pPr>
        <w:pStyle w:val="TextBody"/>
        <w:bidi w:val="0"/>
        <w:spacing w:before="0" w:after="0"/>
        <w:ind w:left="0" w:right="0" w:hanging="0"/>
        <w:jc w:val="left"/>
        <w:rPr>
          <w:caps w:val="false"/>
          <w:smallCaps w:val="false"/>
          <w:color w:val="004C97"/>
        </w:rPr>
      </w:pPr>
      <w:r>
        <w:rPr>
          <w:caps w:val="false"/>
          <w:smallCaps w:val="false"/>
          <w:color w:val="004C97"/>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4C97"/>
        </w:rPr>
      </w:pPr>
      <w:r>
        <w:rPr>
          <w:caps w:val="false"/>
          <w:smallCaps w:val="false"/>
          <w:color w:val="004C97"/>
        </w:rPr>
        <w:t> </w:t>
      </w:r>
    </w:p>
    <w:p>
      <w:pPr>
        <w:pStyle w:val="TextBody"/>
        <w:bidi w:val="0"/>
        <w:spacing w:before="40" w:after="0"/>
        <w:ind w:left="40" w:right="40" w:hanging="0"/>
        <w:jc w:val="left"/>
        <w:rPr>
          <w:rFonts w:ascii="Arial;Helvetica;Sans-Serif" w:hAnsi="Arial;Helvetica;Sans-Serif"/>
          <w:b/>
          <w:i w:val="false"/>
          <w:caps w:val="false"/>
          <w:smallCaps w:val="false"/>
          <w:color w:val="004C97"/>
          <w:sz w:val="22"/>
        </w:rPr>
      </w:pPr>
      <w:r>
        <w:rPr>
          <w:rFonts w:ascii="Arial;Helvetica;Sans-Serif" w:hAnsi="Arial;Helvetica;Sans-Serif"/>
          <w:b/>
          <w:i w:val="false"/>
          <w:caps w:val="false"/>
          <w:smallCaps w:val="false"/>
          <w:color w:val="004C97"/>
          <w:sz w:val="22"/>
        </w:rPr>
        <w:t>Exhibit 1</w:t>
      </w:r>
    </w:p>
    <w:p>
      <w:pPr>
        <w:pStyle w:val="TextBody"/>
        <w:bidi w:val="0"/>
        <w:spacing w:before="40" w:after="0"/>
        <w:ind w:left="40" w:right="40" w:hanging="0"/>
        <w:jc w:val="left"/>
        <w:rPr>
          <w:rFonts w:ascii="Arial;Helvetica;Sans-Serif" w:hAnsi="Arial;Helvetica;Sans-Serif"/>
          <w:b/>
          <w:i w:val="false"/>
          <w:caps w:val="false"/>
          <w:smallCaps w:val="false"/>
          <w:color w:val="004C97"/>
          <w:sz w:val="22"/>
        </w:rPr>
      </w:pPr>
      <w:r>
        <w:rPr>
          <w:rFonts w:ascii="Arial;Helvetica;Sans-Serif" w:hAnsi="Arial;Helvetica;Sans-Serif"/>
          <w:b/>
          <w:i w:val="false"/>
          <w:caps w:val="false"/>
          <w:smallCaps w:val="false"/>
          <w:color w:val="004C97"/>
          <w:sz w:val="22"/>
        </w:rPr>
        <w:t xml:space="preserve">Principal Financial Group </w:t>
      </w:r>
    </w:p>
    <w:p>
      <w:pPr>
        <w:pStyle w:val="TextBody"/>
        <w:bidi w:val="0"/>
        <w:spacing w:before="40" w:after="0"/>
        <w:ind w:left="40" w:right="40" w:hanging="0"/>
        <w:jc w:val="left"/>
        <w:rPr>
          <w:rFonts w:ascii="Arial;Helvetica;Sans-Serif" w:hAnsi="Arial;Helvetica;Sans-Serif"/>
          <w:b/>
          <w:i w:val="false"/>
          <w:caps w:val="false"/>
          <w:smallCaps w:val="false"/>
          <w:color w:val="004C97"/>
          <w:sz w:val="22"/>
        </w:rPr>
      </w:pPr>
      <w:r>
        <w:rPr>
          <w:rFonts w:ascii="Arial;Helvetica;Sans-Serif" w:hAnsi="Arial;Helvetica;Sans-Serif"/>
          <w:b/>
          <w:i w:val="false"/>
          <w:caps w:val="false"/>
          <w:smallCaps w:val="false"/>
          <w:color w:val="004C97"/>
          <w:sz w:val="22"/>
        </w:rPr>
        <w:t>Impact of Significant Variances</w:t>
      </w:r>
      <w:r>
        <w:rPr>
          <w:rFonts w:ascii="Arial;Helvetica;Sans-Serif" w:hAnsi="Arial;Helvetica;Sans-Serif"/>
          <w:b/>
          <w:i w:val="false"/>
          <w:caps w:val="false"/>
          <w:smallCaps w:val="false"/>
          <w:color w:val="004C97"/>
          <w:position w:val="7"/>
          <w:sz w:val="18"/>
          <w:sz w:val="22"/>
        </w:rPr>
        <w:t>10</w:t>
      </w:r>
      <w:r>
        <w:rPr>
          <w:rFonts w:ascii="Arial;Helvetica;Sans-Serif" w:hAnsi="Arial;Helvetica;Sans-Serif"/>
          <w:b/>
          <w:i w:val="false"/>
          <w:caps w:val="false"/>
          <w:smallCaps w:val="false"/>
          <w:color w:val="004C97"/>
          <w:sz w:val="22"/>
        </w:rPr>
        <w:t xml:space="preserve"> on Net Income Attributable to PFG; Non-GAAP Net Income Attributable to PFG, Excluding Exited Business; and Non-GAAP Operating Earnings </w:t>
      </w:r>
    </w:p>
    <w:p>
      <w:pPr>
        <w:pStyle w:val="TextBody"/>
        <w:bidi w:val="0"/>
        <w:spacing w:before="40" w:after="0"/>
        <w:ind w:left="40" w:right="40" w:hanging="0"/>
        <w:jc w:val="left"/>
        <w:rPr>
          <w:rFonts w:ascii="Arial;Helvetica;Sans-Serif" w:hAnsi="Arial;Helvetica;Sans-Serif"/>
          <w:b w:val="false"/>
          <w:i w:val="false"/>
          <w:caps w:val="false"/>
          <w:smallCaps w:val="false"/>
          <w:color w:val="004C97"/>
          <w:sz w:val="16"/>
        </w:rPr>
      </w:pPr>
      <w:r>
        <w:rPr>
          <w:rFonts w:ascii="Arial;Helvetica;Sans-Serif" w:hAnsi="Arial;Helvetica;Sans-Serif"/>
          <w:b w:val="false"/>
          <w:i w:val="false"/>
          <w:caps w:val="false"/>
          <w:smallCaps w:val="false"/>
          <w:color w:val="004C97"/>
          <w:sz w:val="16"/>
        </w:rPr>
        <w:t>In millions except per share data</w:t>
      </w:r>
    </w:p>
    <w:p>
      <w:pPr>
        <w:pStyle w:val="TextBody"/>
        <w:bidi w:val="0"/>
        <w:spacing w:before="0" w:after="0"/>
        <w:ind w:left="0" w:right="0" w:hanging="0"/>
        <w:jc w:val="left"/>
        <w:rPr>
          <w:caps w:val="false"/>
          <w:smallCaps w:val="false"/>
          <w:color w:val="004C97"/>
        </w:rPr>
      </w:pPr>
      <w:r>
        <w:rPr>
          <w:caps w:val="false"/>
          <w:smallCaps w:val="false"/>
          <w:color w:val="004C97"/>
        </w:rPr>
        <w:t> </w:t>
      </w:r>
    </w:p>
    <w:tbl>
      <w:tblPr>
        <w:tblW w:w="10205" w:type="dxa"/>
        <w:jc w:val="left"/>
        <w:tblInd w:w="0" w:type="dxa"/>
        <w:tblLayout w:type="fixed"/>
        <w:tblCellMar>
          <w:top w:w="0" w:type="dxa"/>
          <w:left w:w="0" w:type="dxa"/>
          <w:bottom w:w="0" w:type="dxa"/>
          <w:right w:w="0" w:type="dxa"/>
        </w:tblCellMar>
      </w:tblPr>
      <w:tblGrid>
        <w:gridCol w:w="4009"/>
        <w:gridCol w:w="125"/>
        <w:gridCol w:w="1475"/>
        <w:gridCol w:w="125"/>
        <w:gridCol w:w="1460"/>
        <w:gridCol w:w="125"/>
        <w:gridCol w:w="1372"/>
        <w:gridCol w:w="125"/>
        <w:gridCol w:w="1389"/>
      </w:tblGrid>
      <w:tr>
        <w:trPr/>
        <w:tc>
          <w:tcPr>
            <w:tcW w:w="4009" w:type="dxa"/>
            <w:tcBorders/>
            <w:shd w:fill="004C97" w:val="clear"/>
            <w:vAlign w:val="center"/>
          </w:tcPr>
          <w:p>
            <w:pPr>
              <w:pStyle w:val="TableContents"/>
              <w:bidi w:val="0"/>
              <w:spacing w:before="0" w:after="283"/>
              <w:jc w:val="center"/>
              <w:rPr/>
            </w:pPr>
            <w:r>
              <w:rPr/>
              <w:t> </w:t>
            </w:r>
          </w:p>
        </w:tc>
        <w:tc>
          <w:tcPr>
            <w:tcW w:w="3185" w:type="dxa"/>
            <w:gridSpan w:val="4"/>
            <w:tcBorders/>
            <w:shd w:fill="004C97" w:val="cle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Three Months Ended,</w:t>
            </w:r>
          </w:p>
        </w:tc>
        <w:tc>
          <w:tcPr>
            <w:tcW w:w="3011" w:type="dxa"/>
            <w:gridSpan w:val="4"/>
            <w:tcBorders/>
            <w:shd w:fill="004C97" w:val="cle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Trailing Twelve Months,</w:t>
            </w:r>
          </w:p>
        </w:tc>
      </w:tr>
      <w:tr>
        <w:trPr/>
        <w:tc>
          <w:tcPr>
            <w:tcW w:w="4009" w:type="dxa"/>
            <w:tcBorders/>
            <w:shd w:fill="004C97" w:val="clear"/>
            <w:vAlign w:val="center"/>
          </w:tcPr>
          <w:p>
            <w:pPr>
              <w:pStyle w:val="TableContents"/>
              <w:bidi w:val="0"/>
              <w:spacing w:before="0" w:after="283"/>
              <w:jc w:val="center"/>
              <w:rPr/>
            </w:pPr>
            <w:r>
              <w:rPr/>
              <w:t> </w:t>
            </w:r>
          </w:p>
        </w:tc>
        <w:tc>
          <w:tcPr>
            <w:tcW w:w="1600" w:type="dxa"/>
            <w:gridSpan w:val="2"/>
            <w:tcBorders/>
            <w:shd w:fill="004C97" w:val="cle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2Q26</w:t>
            </w:r>
          </w:p>
        </w:tc>
        <w:tc>
          <w:tcPr>
            <w:tcW w:w="1585" w:type="dxa"/>
            <w:gridSpan w:val="2"/>
            <w:tcBorders/>
            <w:shd w:fill="004C97" w:val="cle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2Q25</w:t>
            </w:r>
          </w:p>
        </w:tc>
        <w:tc>
          <w:tcPr>
            <w:tcW w:w="1497" w:type="dxa"/>
            <w:gridSpan w:val="2"/>
            <w:tcBorders/>
            <w:shd w:fill="004C97" w:val="cle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2Q26</w:t>
            </w:r>
          </w:p>
        </w:tc>
        <w:tc>
          <w:tcPr>
            <w:tcW w:w="1514" w:type="dxa"/>
            <w:gridSpan w:val="2"/>
            <w:tcBorders/>
            <w:shd w:fill="004C97" w:val="cle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2Q25</w:t>
            </w:r>
          </w:p>
        </w:tc>
      </w:tr>
      <w:tr>
        <w:trPr/>
        <w:tc>
          <w:tcPr>
            <w:tcW w:w="4009" w:type="dxa"/>
            <w:tcBorders/>
            <w:vAlign w:val="center"/>
          </w:tcPr>
          <w:p>
            <w:pPr>
              <w:pStyle w:val="TableContents"/>
              <w:bidi w:val="0"/>
              <w:spacing w:before="0" w:after="283"/>
              <w:jc w:val="left"/>
              <w:rPr>
                <w:rFonts w:ascii="Arial;Helvetica;Sans-Serif" w:hAnsi="Arial;Helvetica;Sans-Serif"/>
                <w:b/>
                <w:i/>
                <w:sz w:val="18"/>
              </w:rPr>
            </w:pPr>
            <w:r>
              <w:rPr>
                <w:rFonts w:ascii="Arial;Helvetica;Sans-Serif" w:hAnsi="Arial;Helvetica;Sans-Serif"/>
                <w:b/>
                <w:i/>
                <w:sz w:val="18"/>
              </w:rPr>
              <w:t xml:space="preserve">Net income (loss) attributable to PFG </w:t>
            </w:r>
          </w:p>
        </w:tc>
        <w:tc>
          <w:tcPr>
            <w:tcW w:w="125" w:type="dxa"/>
            <w:tcBorders/>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w:t>
            </w:r>
          </w:p>
        </w:tc>
        <w:tc>
          <w:tcPr>
            <w:tcW w:w="1475" w:type="dxa"/>
            <w:tcBorders/>
            <w:vAlign w:val="center"/>
          </w:tcPr>
          <w:p>
            <w:pPr>
              <w:pStyle w:val="TableContents"/>
              <w:bidi w:val="0"/>
              <w:spacing w:before="0" w:after="283"/>
              <w:jc w:val="right"/>
              <w:rPr/>
            </w:pPr>
            <w:r>
              <w:rPr/>
              <w:t>                 </w:t>
            </w:r>
            <w:r>
              <w:rPr>
                <w:rFonts w:ascii="Arial;Helvetica;Sans-Serif" w:hAnsi="Arial;Helvetica;Sans-Serif"/>
                <w:b/>
                <w:sz w:val="18"/>
              </w:rPr>
              <w:t>18.3</w:t>
            </w:r>
          </w:p>
        </w:tc>
        <w:tc>
          <w:tcPr>
            <w:tcW w:w="125" w:type="dxa"/>
            <w:tcBorders/>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w:t>
            </w:r>
          </w:p>
        </w:tc>
        <w:tc>
          <w:tcPr>
            <w:tcW w:w="1460" w:type="dxa"/>
            <w:tcBorders/>
            <w:vAlign w:val="center"/>
          </w:tcPr>
          <w:p>
            <w:pPr>
              <w:pStyle w:val="TableContents"/>
              <w:bidi w:val="0"/>
              <w:spacing w:before="0" w:after="283"/>
              <w:jc w:val="right"/>
              <w:rPr/>
            </w:pPr>
            <w:r>
              <w:rPr/>
              <w:t>                 </w:t>
            </w:r>
            <w:r>
              <w:rPr>
                <w:rFonts w:ascii="Arial;Helvetica;Sans-Serif" w:hAnsi="Arial;Helvetica;Sans-Serif"/>
                <w:b/>
                <w:sz w:val="18"/>
              </w:rPr>
              <w:t>20.7</w:t>
            </w:r>
          </w:p>
        </w:tc>
        <w:tc>
          <w:tcPr>
            <w:tcW w:w="125" w:type="dxa"/>
            <w:tcBorders/>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w:t>
            </w:r>
          </w:p>
        </w:tc>
        <w:tc>
          <w:tcPr>
            <w:tcW w:w="1372" w:type="dxa"/>
            <w:tcBorders/>
            <w:vAlign w:val="center"/>
          </w:tcPr>
          <w:p>
            <w:pPr>
              <w:pStyle w:val="TableContents"/>
              <w:bidi w:val="0"/>
              <w:spacing w:before="0" w:after="283"/>
              <w:jc w:val="right"/>
              <w:rPr/>
            </w:pPr>
            <w:r>
              <w:rPr/>
              <w:t>             </w:t>
            </w:r>
            <w:r>
              <w:rPr>
                <w:rFonts w:ascii="Arial;Helvetica;Sans-Serif" w:hAnsi="Arial;Helvetica;Sans-Serif"/>
                <w:b/>
                <w:sz w:val="18"/>
              </w:rPr>
              <w:t>(70.9)</w:t>
            </w:r>
          </w:p>
        </w:tc>
        <w:tc>
          <w:tcPr>
            <w:tcW w:w="125" w:type="dxa"/>
            <w:tcBorders/>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w:t>
            </w:r>
          </w:p>
        </w:tc>
        <w:tc>
          <w:tcPr>
            <w:tcW w:w="1389" w:type="dxa"/>
            <w:tcBorders/>
            <w:vAlign w:val="center"/>
          </w:tcPr>
          <w:p>
            <w:pPr>
              <w:pStyle w:val="TableContents"/>
              <w:bidi w:val="0"/>
              <w:spacing w:before="0" w:after="283"/>
              <w:jc w:val="right"/>
              <w:rPr/>
            </w:pPr>
            <w:r>
              <w:rPr/>
              <w:t>           </w:t>
            </w:r>
            <w:r>
              <w:rPr>
                <w:rFonts w:ascii="Arial;Helvetica;Sans-Serif" w:hAnsi="Arial;Helvetica;Sans-Serif"/>
                <w:b/>
                <w:sz w:val="18"/>
              </w:rPr>
              <w:t>(125.2)</w:t>
            </w:r>
          </w:p>
        </w:tc>
      </w:tr>
      <w:tr>
        <w:trPr/>
        <w:tc>
          <w:tcPr>
            <w:tcW w:w="4009"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(Income) loss from exited business</w:t>
            </w:r>
          </w:p>
        </w:tc>
        <w:tc>
          <w:tcPr>
            <w:tcW w:w="1600" w:type="dxa"/>
            <w:gridSpan w:val="2"/>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1585" w:type="dxa"/>
            <w:gridSpan w:val="2"/>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1497" w:type="dxa"/>
            <w:gridSpan w:val="2"/>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6.1</w:t>
            </w:r>
          </w:p>
        </w:tc>
        <w:tc>
          <w:tcPr>
            <w:tcW w:w="1514" w:type="dxa"/>
            <w:gridSpan w:val="2"/>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20.6</w:t>
            </w:r>
          </w:p>
        </w:tc>
      </w:tr>
      <w:tr>
        <w:trPr/>
        <w:tc>
          <w:tcPr>
            <w:tcW w:w="4009" w:type="dxa"/>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Non-GAAP net income (loss) attributable to PFG, excluding exited business</w:t>
            </w:r>
          </w:p>
        </w:tc>
        <w:tc>
          <w:tcPr>
            <w:tcW w:w="1600"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18.3</w:t>
            </w:r>
          </w:p>
        </w:tc>
        <w:tc>
          <w:tcPr>
            <w:tcW w:w="1585"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20.7</w:t>
            </w:r>
          </w:p>
        </w:tc>
        <w:tc>
          <w:tcPr>
            <w:tcW w:w="1497"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(64.8)</w:t>
            </w:r>
          </w:p>
        </w:tc>
        <w:tc>
          <w:tcPr>
            <w:tcW w:w="1514"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(104.6)</w:t>
            </w:r>
          </w:p>
        </w:tc>
      </w:tr>
      <w:tr>
        <w:trPr/>
        <w:tc>
          <w:tcPr>
            <w:tcW w:w="4009"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Net realized capital (gains) losses, as adjusted</w:t>
            </w:r>
          </w:p>
        </w:tc>
        <w:tc>
          <w:tcPr>
            <w:tcW w:w="1600"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1585"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1497"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0.2</w:t>
            </w:r>
          </w:p>
        </w:tc>
        <w:tc>
          <w:tcPr>
            <w:tcW w:w="1514"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(3.7)</w:t>
            </w:r>
          </w:p>
        </w:tc>
      </w:tr>
      <w:tr>
        <w:trPr/>
        <w:tc>
          <w:tcPr>
            <w:tcW w:w="4009" w:type="dxa"/>
            <w:tcBorders>
              <w:top w:val="single" w:sz="8" w:space="0" w:color="000000"/>
            </w:tcBorders>
            <w:tcMar>
              <w:top w:w="28" w:type="dxa"/>
            </w:tcMar>
            <w:vAlign w:val="center"/>
          </w:tcPr>
          <w:p>
            <w:pPr>
              <w:pStyle w:val="TableContents"/>
              <w:bidi w:val="0"/>
              <w:spacing w:before="0" w:after="283"/>
              <w:jc w:val="left"/>
              <w:rPr>
                <w:rFonts w:ascii="Arial;Helvetica;Sans-Serif" w:hAnsi="Arial;Helvetica;Sans-Serif"/>
                <w:b/>
                <w:i/>
                <w:sz w:val="18"/>
              </w:rPr>
            </w:pPr>
            <w:r>
              <w:rPr>
                <w:rFonts w:ascii="Arial;Helvetica;Sans-Serif" w:hAnsi="Arial;Helvetica;Sans-Serif"/>
                <w:b/>
                <w:i/>
                <w:sz w:val="18"/>
              </w:rPr>
              <w:t>Non-GAAP operating earnings</w:t>
            </w:r>
          </w:p>
        </w:tc>
        <w:tc>
          <w:tcPr>
            <w:tcW w:w="1600" w:type="dxa"/>
            <w:gridSpan w:val="2"/>
            <w:tcBorders>
              <w:top w:val="single" w:sz="8" w:space="0" w:color="000000"/>
            </w:tcBorders>
            <w:tcMar>
              <w:top w:w="28"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18.3</w:t>
            </w:r>
          </w:p>
        </w:tc>
        <w:tc>
          <w:tcPr>
            <w:tcW w:w="1585" w:type="dxa"/>
            <w:gridSpan w:val="2"/>
            <w:tcBorders>
              <w:top w:val="single" w:sz="8" w:space="0" w:color="000000"/>
            </w:tcBorders>
            <w:tcMar>
              <w:top w:w="28"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20.7</w:t>
            </w:r>
          </w:p>
        </w:tc>
        <w:tc>
          <w:tcPr>
            <w:tcW w:w="1497" w:type="dxa"/>
            <w:gridSpan w:val="2"/>
            <w:tcBorders>
              <w:top w:val="single" w:sz="8" w:space="0" w:color="000000"/>
            </w:tcBorders>
            <w:tcMar>
              <w:top w:w="28"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(64.6)</w:t>
            </w:r>
          </w:p>
        </w:tc>
        <w:tc>
          <w:tcPr>
            <w:tcW w:w="1514" w:type="dxa"/>
            <w:gridSpan w:val="2"/>
            <w:tcBorders>
              <w:top w:val="single" w:sz="8" w:space="0" w:color="000000"/>
            </w:tcBorders>
            <w:tcMar>
              <w:top w:w="28"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(108.3)</w:t>
            </w:r>
          </w:p>
        </w:tc>
      </w:tr>
      <w:tr>
        <w:trPr/>
        <w:tc>
          <w:tcPr>
            <w:tcW w:w="4009"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Income taxes</w:t>
            </w:r>
          </w:p>
        </w:tc>
        <w:tc>
          <w:tcPr>
            <w:tcW w:w="1600" w:type="dxa"/>
            <w:gridSpan w:val="2"/>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3.6</w:t>
            </w:r>
          </w:p>
        </w:tc>
        <w:tc>
          <w:tcPr>
            <w:tcW w:w="1585" w:type="dxa"/>
            <w:gridSpan w:val="2"/>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3.4</w:t>
            </w:r>
          </w:p>
        </w:tc>
        <w:tc>
          <w:tcPr>
            <w:tcW w:w="1497" w:type="dxa"/>
            <w:gridSpan w:val="2"/>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(12.9)</w:t>
            </w:r>
          </w:p>
        </w:tc>
        <w:tc>
          <w:tcPr>
            <w:tcW w:w="1514" w:type="dxa"/>
            <w:gridSpan w:val="2"/>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(23.9)</w:t>
            </w:r>
          </w:p>
        </w:tc>
      </w:tr>
      <w:tr>
        <w:trPr/>
        <w:tc>
          <w:tcPr>
            <w:tcW w:w="4009" w:type="dxa"/>
            <w:tcBorders/>
            <w:vAlign w:val="center"/>
          </w:tcPr>
          <w:p>
            <w:pPr>
              <w:pStyle w:val="TableContents"/>
              <w:bidi w:val="0"/>
              <w:spacing w:before="0" w:after="283"/>
              <w:jc w:val="left"/>
              <w:rPr>
                <w:rFonts w:ascii="Arial;Helvetica;Sans-Serif" w:hAnsi="Arial;Helvetica;Sans-Serif"/>
                <w:b/>
                <w:i/>
                <w:sz w:val="18"/>
              </w:rPr>
            </w:pPr>
            <w:r>
              <w:rPr>
                <w:rFonts w:ascii="Arial;Helvetica;Sans-Serif" w:hAnsi="Arial;Helvetica;Sans-Serif"/>
                <w:b/>
                <w:i/>
                <w:sz w:val="18"/>
              </w:rPr>
              <w:t>Non-GAAP pre-tax operating earnings</w:t>
            </w:r>
          </w:p>
        </w:tc>
        <w:tc>
          <w:tcPr>
            <w:tcW w:w="125" w:type="dxa"/>
            <w:tcBorders/>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w:t>
            </w:r>
          </w:p>
        </w:tc>
        <w:tc>
          <w:tcPr>
            <w:tcW w:w="1475" w:type="dxa"/>
            <w:tcBorders/>
            <w:vAlign w:val="center"/>
          </w:tcPr>
          <w:p>
            <w:pPr>
              <w:pStyle w:val="TableContents"/>
              <w:bidi w:val="0"/>
              <w:spacing w:before="0" w:after="283"/>
              <w:jc w:val="right"/>
              <w:rPr/>
            </w:pPr>
            <w:r>
              <w:rPr/>
              <w:t>                 </w:t>
            </w:r>
            <w:r>
              <w:rPr>
                <w:rFonts w:ascii="Arial;Helvetica;Sans-Serif" w:hAnsi="Arial;Helvetica;Sans-Serif"/>
                <w:b/>
                <w:sz w:val="18"/>
              </w:rPr>
              <w:t>21.9</w:t>
            </w:r>
          </w:p>
        </w:tc>
        <w:tc>
          <w:tcPr>
            <w:tcW w:w="125" w:type="dxa"/>
            <w:tcBorders/>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w:t>
            </w:r>
          </w:p>
        </w:tc>
        <w:tc>
          <w:tcPr>
            <w:tcW w:w="1460" w:type="dxa"/>
            <w:tcBorders/>
            <w:vAlign w:val="center"/>
          </w:tcPr>
          <w:p>
            <w:pPr>
              <w:pStyle w:val="TableContents"/>
              <w:bidi w:val="0"/>
              <w:spacing w:before="0" w:after="283"/>
              <w:jc w:val="right"/>
              <w:rPr/>
            </w:pPr>
            <w:r>
              <w:rPr/>
              <w:t>                  </w:t>
            </w:r>
            <w:r>
              <w:rPr>
                <w:rFonts w:ascii="Arial;Helvetica;Sans-Serif" w:hAnsi="Arial;Helvetica;Sans-Serif"/>
                <w:b/>
                <w:sz w:val="18"/>
              </w:rPr>
              <w:t>24.1</w:t>
            </w:r>
          </w:p>
        </w:tc>
        <w:tc>
          <w:tcPr>
            <w:tcW w:w="125" w:type="dxa"/>
            <w:tcBorders/>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w:t>
            </w:r>
          </w:p>
        </w:tc>
        <w:tc>
          <w:tcPr>
            <w:tcW w:w="1372" w:type="dxa"/>
            <w:tcBorders/>
            <w:vAlign w:val="center"/>
          </w:tcPr>
          <w:p>
            <w:pPr>
              <w:pStyle w:val="TableContents"/>
              <w:bidi w:val="0"/>
              <w:spacing w:before="0" w:after="283"/>
              <w:jc w:val="right"/>
              <w:rPr/>
            </w:pPr>
            <w:r>
              <w:rPr/>
              <w:t>               </w:t>
            </w:r>
            <w:r>
              <w:rPr>
                <w:rFonts w:ascii="Arial;Helvetica;Sans-Serif" w:hAnsi="Arial;Helvetica;Sans-Serif"/>
                <w:b/>
                <w:sz w:val="18"/>
              </w:rPr>
              <w:t>(77.5)</w:t>
            </w:r>
          </w:p>
        </w:tc>
        <w:tc>
          <w:tcPr>
            <w:tcW w:w="125" w:type="dxa"/>
            <w:tcBorders/>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w:t>
            </w:r>
          </w:p>
        </w:tc>
        <w:tc>
          <w:tcPr>
            <w:tcW w:w="1389" w:type="dxa"/>
            <w:tcBorders/>
            <w:vAlign w:val="center"/>
          </w:tcPr>
          <w:p>
            <w:pPr>
              <w:pStyle w:val="TableContents"/>
              <w:bidi w:val="0"/>
              <w:spacing w:before="0" w:after="283"/>
              <w:jc w:val="right"/>
              <w:rPr/>
            </w:pPr>
            <w:r>
              <w:rPr/>
              <w:t>           </w:t>
            </w:r>
            <w:r>
              <w:rPr>
                <w:rFonts w:ascii="Arial;Helvetica;Sans-Serif" w:hAnsi="Arial;Helvetica;Sans-Serif"/>
                <w:b/>
                <w:sz w:val="18"/>
              </w:rPr>
              <w:t>(132.2)</w:t>
            </w:r>
          </w:p>
        </w:tc>
      </w:tr>
      <w:tr>
        <w:trPr/>
        <w:tc>
          <w:tcPr>
            <w:tcW w:w="4009" w:type="dxa"/>
            <w:tcBorders/>
            <w:vAlign w:val="center"/>
          </w:tcPr>
          <w:p>
            <w:pPr>
              <w:pStyle w:val="TableContents"/>
              <w:bidi w:val="0"/>
              <w:spacing w:before="0" w:after="283"/>
              <w:jc w:val="left"/>
              <w:rPr/>
            </w:pPr>
            <w:r>
              <w:rPr/>
              <w:t> </w:t>
            </w:r>
          </w:p>
        </w:tc>
        <w:tc>
          <w:tcPr>
            <w:tcW w:w="1600" w:type="dxa"/>
            <w:gridSpan w:val="2"/>
            <w:tcBorders/>
            <w:vAlign w:val="center"/>
          </w:tcPr>
          <w:p>
            <w:pPr>
              <w:pStyle w:val="TableContents"/>
              <w:bidi w:val="0"/>
              <w:spacing w:before="0" w:after="283"/>
              <w:jc w:val="right"/>
              <w:rPr/>
            </w:pPr>
            <w:r>
              <w:rPr/>
              <w:t> </w:t>
            </w:r>
          </w:p>
        </w:tc>
        <w:tc>
          <w:tcPr>
            <w:tcW w:w="1585" w:type="dxa"/>
            <w:gridSpan w:val="2"/>
            <w:tcBorders/>
            <w:vAlign w:val="center"/>
          </w:tcPr>
          <w:p>
            <w:pPr>
              <w:pStyle w:val="TableContents"/>
              <w:bidi w:val="0"/>
              <w:spacing w:before="0" w:after="283"/>
              <w:jc w:val="right"/>
              <w:rPr/>
            </w:pPr>
            <w:r>
              <w:rPr/>
              <w:t> </w:t>
            </w:r>
          </w:p>
        </w:tc>
        <w:tc>
          <w:tcPr>
            <w:tcW w:w="1497" w:type="dxa"/>
            <w:gridSpan w:val="2"/>
            <w:tcBorders/>
            <w:vAlign w:val="center"/>
          </w:tcPr>
          <w:p>
            <w:pPr>
              <w:pStyle w:val="TableContents"/>
              <w:bidi w:val="0"/>
              <w:spacing w:before="0" w:after="283"/>
              <w:jc w:val="right"/>
              <w:rPr/>
            </w:pPr>
            <w:r>
              <w:rPr/>
              <w:t> </w:t>
            </w:r>
          </w:p>
        </w:tc>
        <w:tc>
          <w:tcPr>
            <w:tcW w:w="1514" w:type="dxa"/>
            <w:gridSpan w:val="2"/>
            <w:tcBorders/>
            <w:vAlign w:val="center"/>
          </w:tcPr>
          <w:p>
            <w:pPr>
              <w:pStyle w:val="TableContents"/>
              <w:bidi w:val="0"/>
              <w:spacing w:before="0" w:after="283"/>
              <w:jc w:val="right"/>
              <w:rPr/>
            </w:pPr>
            <w:r>
              <w:rPr/>
              <w:t> </w:t>
            </w:r>
          </w:p>
        </w:tc>
      </w:tr>
      <w:tr>
        <w:trPr/>
        <w:tc>
          <w:tcPr>
            <w:tcW w:w="4009" w:type="dxa"/>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Per diluted share:</w:t>
            </w:r>
          </w:p>
        </w:tc>
        <w:tc>
          <w:tcPr>
            <w:tcW w:w="1600" w:type="dxa"/>
            <w:gridSpan w:val="2"/>
            <w:tcBorders/>
            <w:vAlign w:val="center"/>
          </w:tcPr>
          <w:p>
            <w:pPr>
              <w:pStyle w:val="TableContents"/>
              <w:bidi w:val="0"/>
              <w:spacing w:before="0" w:after="283"/>
              <w:jc w:val="right"/>
              <w:rPr/>
            </w:pPr>
            <w:r>
              <w:rPr/>
              <w:t> </w:t>
            </w:r>
          </w:p>
        </w:tc>
        <w:tc>
          <w:tcPr>
            <w:tcW w:w="1585" w:type="dxa"/>
            <w:gridSpan w:val="2"/>
            <w:tcBorders/>
            <w:vAlign w:val="center"/>
          </w:tcPr>
          <w:p>
            <w:pPr>
              <w:pStyle w:val="TableContents"/>
              <w:bidi w:val="0"/>
              <w:spacing w:before="0" w:after="283"/>
              <w:jc w:val="right"/>
              <w:rPr/>
            </w:pPr>
            <w:r>
              <w:rPr/>
              <w:t> </w:t>
            </w:r>
          </w:p>
        </w:tc>
        <w:tc>
          <w:tcPr>
            <w:tcW w:w="1497" w:type="dxa"/>
            <w:gridSpan w:val="2"/>
            <w:tcBorders/>
            <w:vAlign w:val="center"/>
          </w:tcPr>
          <w:p>
            <w:pPr>
              <w:pStyle w:val="TableContents"/>
              <w:bidi w:val="0"/>
              <w:spacing w:before="0" w:after="283"/>
              <w:jc w:val="right"/>
              <w:rPr/>
            </w:pPr>
            <w:r>
              <w:rPr/>
              <w:t> </w:t>
            </w:r>
          </w:p>
        </w:tc>
        <w:tc>
          <w:tcPr>
            <w:tcW w:w="1514" w:type="dxa"/>
            <w:gridSpan w:val="2"/>
            <w:tcBorders/>
            <w:vAlign w:val="center"/>
          </w:tcPr>
          <w:p>
            <w:pPr>
              <w:pStyle w:val="TableContents"/>
              <w:bidi w:val="0"/>
              <w:spacing w:before="0" w:after="283"/>
              <w:jc w:val="right"/>
              <w:rPr/>
            </w:pPr>
            <w:r>
              <w:rPr/>
              <w:t> </w:t>
            </w:r>
          </w:p>
        </w:tc>
      </w:tr>
      <w:tr>
        <w:trPr/>
        <w:tc>
          <w:tcPr>
            <w:tcW w:w="4009" w:type="dxa"/>
            <w:tcBorders/>
            <w:vAlign w:val="center"/>
          </w:tcPr>
          <w:p>
            <w:pPr>
              <w:pStyle w:val="TableContents"/>
              <w:bidi w:val="0"/>
              <w:spacing w:before="0" w:after="283"/>
              <w:jc w:val="left"/>
              <w:rPr>
                <w:rFonts w:ascii="Arial;Helvetica;Sans-Serif" w:hAnsi="Arial;Helvetica;Sans-Serif"/>
                <w:b/>
                <w:i/>
                <w:sz w:val="18"/>
              </w:rPr>
            </w:pPr>
            <w:r>
              <w:rPr>
                <w:rFonts w:ascii="Arial;Helvetica;Sans-Serif" w:hAnsi="Arial;Helvetica;Sans-Serif"/>
                <w:b/>
                <w:i/>
                <w:sz w:val="18"/>
              </w:rPr>
              <w:t xml:space="preserve">Net income (loss) attributable to PFG </w:t>
            </w:r>
          </w:p>
        </w:tc>
        <w:tc>
          <w:tcPr>
            <w:tcW w:w="125" w:type="dxa"/>
            <w:tcBorders/>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w:t>
            </w:r>
          </w:p>
        </w:tc>
        <w:tc>
          <w:tcPr>
            <w:tcW w:w="1475" w:type="dxa"/>
            <w:tcBorders/>
            <w:vAlign w:val="center"/>
          </w:tcPr>
          <w:p>
            <w:pPr>
              <w:pStyle w:val="TableContents"/>
              <w:bidi w:val="0"/>
              <w:spacing w:before="0" w:after="283"/>
              <w:jc w:val="right"/>
              <w:rPr/>
            </w:pPr>
            <w:r>
              <w:rPr/>
              <w:t>                 </w:t>
            </w:r>
            <w:r>
              <w:rPr>
                <w:rFonts w:ascii="Arial;Helvetica;Sans-Serif" w:hAnsi="Arial;Helvetica;Sans-Serif"/>
                <w:b/>
                <w:sz w:val="18"/>
              </w:rPr>
              <w:t>0.08</w:t>
            </w:r>
          </w:p>
        </w:tc>
        <w:tc>
          <w:tcPr>
            <w:tcW w:w="125" w:type="dxa"/>
            <w:tcBorders/>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w:t>
            </w:r>
          </w:p>
        </w:tc>
        <w:tc>
          <w:tcPr>
            <w:tcW w:w="1460" w:type="dxa"/>
            <w:tcBorders/>
            <w:vAlign w:val="center"/>
          </w:tcPr>
          <w:p>
            <w:pPr>
              <w:pStyle w:val="TableContents"/>
              <w:bidi w:val="0"/>
              <w:spacing w:before="0" w:after="283"/>
              <w:jc w:val="right"/>
              <w:rPr/>
            </w:pPr>
            <w:r>
              <w:rPr/>
              <w:t>                  </w:t>
            </w:r>
            <w:r>
              <w:rPr>
                <w:rFonts w:ascii="Arial;Helvetica;Sans-Serif" w:hAnsi="Arial;Helvetica;Sans-Serif"/>
                <w:b/>
                <w:sz w:val="18"/>
              </w:rPr>
              <w:t>0.09</w:t>
            </w:r>
          </w:p>
        </w:tc>
        <w:tc>
          <w:tcPr>
            <w:tcW w:w="1497" w:type="dxa"/>
            <w:gridSpan w:val="2"/>
            <w:tcBorders/>
            <w:vAlign w:val="center"/>
          </w:tcPr>
          <w:p>
            <w:pPr>
              <w:pStyle w:val="TableContents"/>
              <w:bidi w:val="0"/>
              <w:spacing w:before="0" w:after="283"/>
              <w:jc w:val="right"/>
              <w:rPr/>
            </w:pPr>
            <w:r>
              <w:rPr/>
              <w:t> </w:t>
            </w:r>
          </w:p>
        </w:tc>
        <w:tc>
          <w:tcPr>
            <w:tcW w:w="1514" w:type="dxa"/>
            <w:gridSpan w:val="2"/>
            <w:tcBorders/>
            <w:vAlign w:val="center"/>
          </w:tcPr>
          <w:p>
            <w:pPr>
              <w:pStyle w:val="TableContents"/>
              <w:bidi w:val="0"/>
              <w:spacing w:before="0" w:after="283"/>
              <w:jc w:val="right"/>
              <w:rPr/>
            </w:pPr>
            <w:r>
              <w:rPr/>
              <w:t> </w:t>
            </w:r>
          </w:p>
        </w:tc>
      </w:tr>
      <w:tr>
        <w:trPr/>
        <w:tc>
          <w:tcPr>
            <w:tcW w:w="4009"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(Income) loss from exited business</w:t>
            </w:r>
          </w:p>
        </w:tc>
        <w:tc>
          <w:tcPr>
            <w:tcW w:w="1600" w:type="dxa"/>
            <w:gridSpan w:val="2"/>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1585" w:type="dxa"/>
            <w:gridSpan w:val="2"/>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1497" w:type="dxa"/>
            <w:gridSpan w:val="2"/>
            <w:tcBorders/>
            <w:vAlign w:val="center"/>
          </w:tcPr>
          <w:p>
            <w:pPr>
              <w:pStyle w:val="TableContents"/>
              <w:bidi w:val="0"/>
              <w:spacing w:before="0" w:after="283"/>
              <w:jc w:val="right"/>
              <w:rPr/>
            </w:pPr>
            <w:r>
              <w:rPr/>
              <w:t> </w:t>
            </w:r>
          </w:p>
        </w:tc>
        <w:tc>
          <w:tcPr>
            <w:tcW w:w="1514" w:type="dxa"/>
            <w:gridSpan w:val="2"/>
            <w:tcBorders/>
            <w:vAlign w:val="center"/>
          </w:tcPr>
          <w:p>
            <w:pPr>
              <w:pStyle w:val="TableContents"/>
              <w:bidi w:val="0"/>
              <w:spacing w:before="0" w:after="283"/>
              <w:jc w:val="right"/>
              <w:rPr/>
            </w:pPr>
            <w:r>
              <w:rPr/>
              <w:t> </w:t>
            </w:r>
          </w:p>
        </w:tc>
      </w:tr>
      <w:tr>
        <w:trPr/>
        <w:tc>
          <w:tcPr>
            <w:tcW w:w="4009" w:type="dxa"/>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Non-GAAP net income (loss) attributable to PFG, excluding exited business</w:t>
            </w:r>
          </w:p>
        </w:tc>
        <w:tc>
          <w:tcPr>
            <w:tcW w:w="1600"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0.08</w:t>
            </w:r>
          </w:p>
        </w:tc>
        <w:tc>
          <w:tcPr>
            <w:tcW w:w="1585"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0.09</w:t>
            </w:r>
          </w:p>
        </w:tc>
        <w:tc>
          <w:tcPr>
            <w:tcW w:w="1497" w:type="dxa"/>
            <w:gridSpan w:val="2"/>
            <w:tcBorders/>
            <w:vAlign w:val="center"/>
          </w:tcPr>
          <w:p>
            <w:pPr>
              <w:pStyle w:val="TableContents"/>
              <w:bidi w:val="0"/>
              <w:spacing w:before="0" w:after="283"/>
              <w:jc w:val="right"/>
              <w:rPr/>
            </w:pPr>
            <w:r>
              <w:rPr/>
              <w:t> </w:t>
            </w:r>
          </w:p>
        </w:tc>
        <w:tc>
          <w:tcPr>
            <w:tcW w:w="1514" w:type="dxa"/>
            <w:gridSpan w:val="2"/>
            <w:tcBorders/>
            <w:vAlign w:val="center"/>
          </w:tcPr>
          <w:p>
            <w:pPr>
              <w:pStyle w:val="TableContents"/>
              <w:bidi w:val="0"/>
              <w:spacing w:before="0" w:after="283"/>
              <w:jc w:val="right"/>
              <w:rPr/>
            </w:pPr>
            <w:r>
              <w:rPr/>
              <w:t> </w:t>
            </w:r>
          </w:p>
        </w:tc>
      </w:tr>
      <w:tr>
        <w:trPr/>
        <w:tc>
          <w:tcPr>
            <w:tcW w:w="4009"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Net realized capital (gains) losses, as adjusted</w:t>
            </w:r>
          </w:p>
        </w:tc>
        <w:tc>
          <w:tcPr>
            <w:tcW w:w="1600"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1585"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1497" w:type="dxa"/>
            <w:gridSpan w:val="2"/>
            <w:tcBorders/>
            <w:vAlign w:val="center"/>
          </w:tcPr>
          <w:p>
            <w:pPr>
              <w:pStyle w:val="TableContents"/>
              <w:bidi w:val="0"/>
              <w:spacing w:before="0" w:after="283"/>
              <w:jc w:val="right"/>
              <w:rPr/>
            </w:pPr>
            <w:r>
              <w:rPr/>
              <w:t> </w:t>
            </w:r>
          </w:p>
        </w:tc>
        <w:tc>
          <w:tcPr>
            <w:tcW w:w="1514" w:type="dxa"/>
            <w:gridSpan w:val="2"/>
            <w:tcBorders/>
            <w:vAlign w:val="center"/>
          </w:tcPr>
          <w:p>
            <w:pPr>
              <w:pStyle w:val="TableContents"/>
              <w:bidi w:val="0"/>
              <w:spacing w:before="0" w:after="283"/>
              <w:jc w:val="right"/>
              <w:rPr/>
            </w:pPr>
            <w:r>
              <w:rPr/>
              <w:t> </w:t>
            </w:r>
          </w:p>
        </w:tc>
      </w:tr>
      <w:tr>
        <w:trPr/>
        <w:tc>
          <w:tcPr>
            <w:tcW w:w="4009" w:type="dxa"/>
            <w:tcBorders>
              <w:top w:val="single" w:sz="8" w:space="0" w:color="000000"/>
            </w:tcBorders>
            <w:tcMar>
              <w:top w:w="28" w:type="dxa"/>
            </w:tcMar>
            <w:vAlign w:val="center"/>
          </w:tcPr>
          <w:p>
            <w:pPr>
              <w:pStyle w:val="TableContents"/>
              <w:bidi w:val="0"/>
              <w:spacing w:before="0" w:after="283"/>
              <w:jc w:val="left"/>
              <w:rPr>
                <w:rFonts w:ascii="Arial;Helvetica;Sans-Serif" w:hAnsi="Arial;Helvetica;Sans-Serif"/>
                <w:b/>
                <w:i/>
                <w:sz w:val="18"/>
              </w:rPr>
            </w:pPr>
            <w:r>
              <w:rPr>
                <w:rFonts w:ascii="Arial;Helvetica;Sans-Serif" w:hAnsi="Arial;Helvetica;Sans-Serif"/>
                <w:b/>
                <w:i/>
                <w:sz w:val="18"/>
              </w:rPr>
              <w:t>Non-GAAP operating earnings</w:t>
            </w:r>
          </w:p>
        </w:tc>
        <w:tc>
          <w:tcPr>
            <w:tcW w:w="125" w:type="dxa"/>
            <w:tcBorders>
              <w:top w:val="single" w:sz="8" w:space="0" w:color="000000"/>
            </w:tcBorders>
            <w:tcMar>
              <w:top w:w="28"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w:t>
            </w:r>
          </w:p>
        </w:tc>
        <w:tc>
          <w:tcPr>
            <w:tcW w:w="1475" w:type="dxa"/>
            <w:tcBorders>
              <w:top w:val="single" w:sz="8" w:space="0" w:color="000000"/>
            </w:tcBorders>
            <w:tcMar>
              <w:top w:w="28" w:type="dxa"/>
            </w:tcMar>
            <w:vAlign w:val="center"/>
          </w:tcPr>
          <w:p>
            <w:pPr>
              <w:pStyle w:val="TableContents"/>
              <w:bidi w:val="0"/>
              <w:spacing w:before="0" w:after="283"/>
              <w:jc w:val="right"/>
              <w:rPr/>
            </w:pPr>
            <w:r>
              <w:rPr/>
              <w:t>                 </w:t>
            </w:r>
            <w:r>
              <w:rPr>
                <w:rFonts w:ascii="Arial;Helvetica;Sans-Serif" w:hAnsi="Arial;Helvetica;Sans-Serif"/>
                <w:b/>
                <w:sz w:val="18"/>
              </w:rPr>
              <w:t>0.08</w:t>
            </w:r>
          </w:p>
        </w:tc>
        <w:tc>
          <w:tcPr>
            <w:tcW w:w="125" w:type="dxa"/>
            <w:tcBorders>
              <w:top w:val="single" w:sz="8" w:space="0" w:color="000000"/>
            </w:tcBorders>
            <w:tcMar>
              <w:top w:w="28" w:type="dxa"/>
            </w:tcMar>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w:t>
            </w:r>
          </w:p>
        </w:tc>
        <w:tc>
          <w:tcPr>
            <w:tcW w:w="1460" w:type="dxa"/>
            <w:tcBorders>
              <w:top w:val="single" w:sz="8" w:space="0" w:color="000000"/>
            </w:tcBorders>
            <w:tcMar>
              <w:top w:w="28" w:type="dxa"/>
            </w:tcMar>
            <w:vAlign w:val="center"/>
          </w:tcPr>
          <w:p>
            <w:pPr>
              <w:pStyle w:val="TableContents"/>
              <w:bidi w:val="0"/>
              <w:spacing w:before="0" w:after="283"/>
              <w:jc w:val="right"/>
              <w:rPr/>
            </w:pPr>
            <w:r>
              <w:rPr/>
              <w:t>                  </w:t>
            </w:r>
            <w:r>
              <w:rPr>
                <w:rFonts w:ascii="Arial;Helvetica;Sans-Serif" w:hAnsi="Arial;Helvetica;Sans-Serif"/>
                <w:b/>
                <w:sz w:val="18"/>
              </w:rPr>
              <w:t>0.09</w:t>
            </w:r>
          </w:p>
        </w:tc>
        <w:tc>
          <w:tcPr>
            <w:tcW w:w="1497" w:type="dxa"/>
            <w:gridSpan w:val="2"/>
            <w:tcBorders/>
            <w:vAlign w:val="center"/>
          </w:tcPr>
          <w:p>
            <w:pPr>
              <w:pStyle w:val="TableContents"/>
              <w:bidi w:val="0"/>
              <w:spacing w:before="0" w:after="283"/>
              <w:jc w:val="right"/>
              <w:rPr/>
            </w:pPr>
            <w:r>
              <w:rPr/>
              <w:t> </w:t>
            </w:r>
          </w:p>
        </w:tc>
        <w:tc>
          <w:tcPr>
            <w:tcW w:w="1514" w:type="dxa"/>
            <w:gridSpan w:val="2"/>
            <w:tcBorders/>
            <w:vAlign w:val="center"/>
          </w:tcPr>
          <w:p>
            <w:pPr>
              <w:pStyle w:val="TableContents"/>
              <w:bidi w:val="0"/>
              <w:spacing w:before="0" w:after="283"/>
              <w:jc w:val="right"/>
              <w:rPr/>
            </w:pPr>
            <w:r>
              <w:rPr/>
              <w:t> </w:t>
            </w:r>
          </w:p>
        </w:tc>
      </w:tr>
      <w:tr>
        <w:trPr/>
        <w:tc>
          <w:tcPr>
            <w:tcW w:w="4009"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Weighted average diluted common shares outstanding</w:t>
            </w:r>
          </w:p>
        </w:tc>
        <w:tc>
          <w:tcPr>
            <w:tcW w:w="1600"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218.7</w:t>
            </w:r>
          </w:p>
        </w:tc>
        <w:tc>
          <w:tcPr>
            <w:tcW w:w="1585"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226.5</w:t>
            </w:r>
          </w:p>
        </w:tc>
        <w:tc>
          <w:tcPr>
            <w:tcW w:w="1497" w:type="dxa"/>
            <w:gridSpan w:val="2"/>
            <w:tcBorders/>
            <w:vAlign w:val="center"/>
          </w:tcPr>
          <w:p>
            <w:pPr>
              <w:pStyle w:val="TableContents"/>
              <w:bidi w:val="0"/>
              <w:spacing w:before="0" w:after="283"/>
              <w:jc w:val="right"/>
              <w:rPr/>
            </w:pPr>
            <w:r>
              <w:rPr/>
              <w:t> </w:t>
            </w:r>
          </w:p>
        </w:tc>
        <w:tc>
          <w:tcPr>
            <w:tcW w:w="1514" w:type="dxa"/>
            <w:gridSpan w:val="2"/>
            <w:tcBorders/>
            <w:vAlign w:val="center"/>
          </w:tcPr>
          <w:p>
            <w:pPr>
              <w:pStyle w:val="TableContents"/>
              <w:bidi w:val="0"/>
              <w:spacing w:before="0" w:after="283"/>
              <w:jc w:val="right"/>
              <w:rPr/>
            </w:pPr>
            <w:r>
              <w:rPr/>
              <w:t> </w:t>
            </w:r>
          </w:p>
        </w:tc>
      </w:tr>
      <w:tr>
        <w:trPr/>
        <w:tc>
          <w:tcPr>
            <w:tcW w:w="4009" w:type="dxa"/>
            <w:tcBorders/>
            <w:vAlign w:val="center"/>
          </w:tcPr>
          <w:p>
            <w:pPr>
              <w:pStyle w:val="TableContents"/>
              <w:bidi w:val="0"/>
              <w:spacing w:before="0" w:after="283"/>
              <w:jc w:val="left"/>
              <w:rPr/>
            </w:pPr>
            <w:r>
              <w:rPr/>
              <w:t> </w:t>
            </w:r>
          </w:p>
        </w:tc>
        <w:tc>
          <w:tcPr>
            <w:tcW w:w="1600" w:type="dxa"/>
            <w:gridSpan w:val="2"/>
            <w:tcBorders/>
            <w:vAlign w:val="center"/>
          </w:tcPr>
          <w:p>
            <w:pPr>
              <w:pStyle w:val="TableContents"/>
              <w:bidi w:val="0"/>
              <w:spacing w:before="0" w:after="283"/>
              <w:jc w:val="right"/>
              <w:rPr/>
            </w:pPr>
            <w:r>
              <w:rPr/>
              <w:t> </w:t>
            </w:r>
          </w:p>
        </w:tc>
        <w:tc>
          <w:tcPr>
            <w:tcW w:w="1585" w:type="dxa"/>
            <w:gridSpan w:val="2"/>
            <w:tcBorders/>
            <w:vAlign w:val="center"/>
          </w:tcPr>
          <w:p>
            <w:pPr>
              <w:pStyle w:val="TableContents"/>
              <w:bidi w:val="0"/>
              <w:spacing w:before="0" w:after="283"/>
              <w:jc w:val="right"/>
              <w:rPr/>
            </w:pPr>
            <w:r>
              <w:rPr/>
              <w:t> </w:t>
            </w:r>
          </w:p>
        </w:tc>
        <w:tc>
          <w:tcPr>
            <w:tcW w:w="1497" w:type="dxa"/>
            <w:gridSpan w:val="2"/>
            <w:tcBorders/>
            <w:vAlign w:val="center"/>
          </w:tcPr>
          <w:p>
            <w:pPr>
              <w:pStyle w:val="TableContents"/>
              <w:bidi w:val="0"/>
              <w:spacing w:before="0" w:after="283"/>
              <w:jc w:val="right"/>
              <w:rPr/>
            </w:pPr>
            <w:r>
              <w:rPr/>
              <w:t> </w:t>
            </w:r>
          </w:p>
        </w:tc>
        <w:tc>
          <w:tcPr>
            <w:tcW w:w="1514" w:type="dxa"/>
            <w:gridSpan w:val="2"/>
            <w:tcBorders/>
            <w:vAlign w:val="center"/>
          </w:tcPr>
          <w:p>
            <w:pPr>
              <w:pStyle w:val="TableContents"/>
              <w:bidi w:val="0"/>
              <w:spacing w:before="0" w:after="283"/>
              <w:jc w:val="right"/>
              <w:rPr/>
            </w:pPr>
            <w:r>
              <w:rPr/>
              <w:t> </w:t>
            </w:r>
          </w:p>
        </w:tc>
      </w:tr>
      <w:tr>
        <w:trPr/>
        <w:tc>
          <w:tcPr>
            <w:tcW w:w="4009" w:type="dxa"/>
            <w:tcBorders/>
            <w:vAlign w:val="center"/>
          </w:tcPr>
          <w:p>
            <w:pPr>
              <w:pStyle w:val="TableContents"/>
              <w:bidi w:val="0"/>
              <w:spacing w:before="0" w:after="283"/>
              <w:jc w:val="left"/>
              <w:rPr>
                <w:rFonts w:ascii="Arial;Helvetica;Sans-Serif" w:hAnsi="Arial;Helvetica;Sans-Serif"/>
                <w:b/>
                <w:i/>
                <w:sz w:val="18"/>
              </w:rPr>
            </w:pPr>
            <w:r>
              <w:rPr>
                <w:rFonts w:ascii="Arial;Helvetica;Sans-Serif" w:hAnsi="Arial;Helvetica;Sans-Serif"/>
                <w:b/>
                <w:i/>
                <w:sz w:val="18"/>
              </w:rPr>
              <w:t>Segment pre-tax operating earnings (losses):</w:t>
            </w:r>
          </w:p>
        </w:tc>
        <w:tc>
          <w:tcPr>
            <w:tcW w:w="1600" w:type="dxa"/>
            <w:gridSpan w:val="2"/>
            <w:tcBorders/>
            <w:vAlign w:val="center"/>
          </w:tcPr>
          <w:p>
            <w:pPr>
              <w:pStyle w:val="TableContents"/>
              <w:bidi w:val="0"/>
              <w:spacing w:before="0" w:after="283"/>
              <w:jc w:val="right"/>
              <w:rPr/>
            </w:pPr>
            <w:r>
              <w:rPr/>
              <w:t> </w:t>
            </w:r>
          </w:p>
        </w:tc>
        <w:tc>
          <w:tcPr>
            <w:tcW w:w="1585" w:type="dxa"/>
            <w:gridSpan w:val="2"/>
            <w:tcBorders/>
            <w:vAlign w:val="center"/>
          </w:tcPr>
          <w:p>
            <w:pPr>
              <w:pStyle w:val="TableContents"/>
              <w:bidi w:val="0"/>
              <w:spacing w:before="0" w:after="283"/>
              <w:jc w:val="right"/>
              <w:rPr/>
            </w:pPr>
            <w:r>
              <w:rPr/>
              <w:t> </w:t>
            </w:r>
          </w:p>
        </w:tc>
        <w:tc>
          <w:tcPr>
            <w:tcW w:w="1497" w:type="dxa"/>
            <w:gridSpan w:val="2"/>
            <w:tcBorders/>
            <w:vAlign w:val="center"/>
          </w:tcPr>
          <w:p>
            <w:pPr>
              <w:pStyle w:val="TableContents"/>
              <w:bidi w:val="0"/>
              <w:spacing w:before="0" w:after="283"/>
              <w:jc w:val="right"/>
              <w:rPr/>
            </w:pPr>
            <w:r>
              <w:rPr/>
              <w:t> </w:t>
            </w:r>
          </w:p>
        </w:tc>
        <w:tc>
          <w:tcPr>
            <w:tcW w:w="1514" w:type="dxa"/>
            <w:gridSpan w:val="2"/>
            <w:tcBorders/>
            <w:vAlign w:val="center"/>
          </w:tcPr>
          <w:p>
            <w:pPr>
              <w:pStyle w:val="TableContents"/>
              <w:bidi w:val="0"/>
              <w:spacing w:before="0" w:after="283"/>
              <w:jc w:val="right"/>
              <w:rPr/>
            </w:pPr>
            <w:r>
              <w:rPr/>
              <w:t> </w:t>
            </w:r>
          </w:p>
        </w:tc>
      </w:tr>
      <w:tr>
        <w:trPr/>
        <w:tc>
          <w:tcPr>
            <w:tcW w:w="4009"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Retirement and Income Solutions</w:t>
            </w:r>
          </w:p>
        </w:tc>
        <w:tc>
          <w:tcPr>
            <w:tcW w:w="125"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1475" w:type="dxa"/>
            <w:tcBorders/>
            <w:vAlign w:val="center"/>
          </w:tcPr>
          <w:p>
            <w:pPr>
              <w:pStyle w:val="TableContents"/>
              <w:bidi w:val="0"/>
              <w:spacing w:before="0" w:after="283"/>
              <w:jc w:val="right"/>
              <w:rPr/>
            </w:pPr>
            <w:r>
              <w:rPr/>
              <w:t>                    </w:t>
            </w:r>
            <w:r>
              <w:rPr>
                <w:rFonts w:ascii="Arial;Helvetica;Sans-Serif" w:hAnsi="Arial;Helvetica;Sans-Serif"/>
                <w:sz w:val="18"/>
              </w:rPr>
              <w:t>2.0</w:t>
            </w:r>
          </w:p>
        </w:tc>
        <w:tc>
          <w:tcPr>
            <w:tcW w:w="125"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1460" w:type="dxa"/>
            <w:tcBorders/>
            <w:vAlign w:val="center"/>
          </w:tcPr>
          <w:p>
            <w:pPr>
              <w:pStyle w:val="TableContents"/>
              <w:bidi w:val="0"/>
              <w:spacing w:before="0" w:after="283"/>
              <w:jc w:val="right"/>
              <w:rPr/>
            </w:pPr>
            <w:r>
              <w:rPr/>
              <w:t>                 </w:t>
            </w:r>
            <w:r>
              <w:rPr>
                <w:rFonts w:ascii="Arial;Helvetica;Sans-Serif" w:hAnsi="Arial;Helvetica;Sans-Serif"/>
                <w:sz w:val="18"/>
              </w:rPr>
              <w:t>(4.1)</w:t>
            </w:r>
          </w:p>
        </w:tc>
        <w:tc>
          <w:tcPr>
            <w:tcW w:w="125"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1372" w:type="dxa"/>
            <w:tcBorders/>
            <w:vAlign w:val="center"/>
          </w:tcPr>
          <w:p>
            <w:pPr>
              <w:pStyle w:val="TableContents"/>
              <w:bidi w:val="0"/>
              <w:spacing w:before="0" w:after="283"/>
              <w:jc w:val="right"/>
              <w:rPr/>
            </w:pPr>
            <w:r>
              <w:rPr/>
              <w:t>              </w:t>
            </w:r>
            <w:r>
              <w:rPr>
                <w:rFonts w:ascii="Arial;Helvetica;Sans-Serif" w:hAnsi="Arial;Helvetica;Sans-Serif"/>
                <w:sz w:val="18"/>
              </w:rPr>
              <w:t>(25.0)</w:t>
            </w:r>
          </w:p>
        </w:tc>
        <w:tc>
          <w:tcPr>
            <w:tcW w:w="125"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1389" w:type="dxa"/>
            <w:tcBorders/>
            <w:vAlign w:val="center"/>
          </w:tcPr>
          <w:p>
            <w:pPr>
              <w:pStyle w:val="TableContents"/>
              <w:bidi w:val="0"/>
              <w:spacing w:before="0" w:after="283"/>
              <w:jc w:val="right"/>
              <w:rPr/>
            </w:pPr>
            <w:r>
              <w:rPr/>
              <w:t>               </w:t>
            </w:r>
            <w:r>
              <w:rPr>
                <w:rFonts w:ascii="Arial;Helvetica;Sans-Serif" w:hAnsi="Arial;Helvetica;Sans-Serif"/>
                <w:sz w:val="18"/>
              </w:rPr>
              <w:t>(87.3)</w:t>
            </w:r>
          </w:p>
        </w:tc>
      </w:tr>
      <w:tr>
        <w:trPr/>
        <w:tc>
          <w:tcPr>
            <w:tcW w:w="4009" w:type="dxa"/>
            <w:tcBorders/>
            <w:vAlign w:val="center"/>
          </w:tcPr>
          <w:p>
            <w:pPr>
              <w:pStyle w:val="TableContents"/>
              <w:bidi w:val="0"/>
              <w:spacing w:before="0" w:after="283"/>
              <w:jc w:val="left"/>
              <w:rPr/>
            </w:pPr>
            <w:r>
              <w:rPr/>
              <w:t> </w:t>
            </w:r>
          </w:p>
        </w:tc>
        <w:tc>
          <w:tcPr>
            <w:tcW w:w="1600" w:type="dxa"/>
            <w:gridSpan w:val="2"/>
            <w:tcBorders/>
            <w:vAlign w:val="center"/>
          </w:tcPr>
          <w:p>
            <w:pPr>
              <w:pStyle w:val="TableContents"/>
              <w:bidi w:val="0"/>
              <w:spacing w:before="0" w:after="283"/>
              <w:jc w:val="right"/>
              <w:rPr/>
            </w:pPr>
            <w:r>
              <w:rPr/>
              <w:t> </w:t>
            </w:r>
          </w:p>
        </w:tc>
        <w:tc>
          <w:tcPr>
            <w:tcW w:w="1585" w:type="dxa"/>
            <w:gridSpan w:val="2"/>
            <w:tcBorders/>
            <w:vAlign w:val="center"/>
          </w:tcPr>
          <w:p>
            <w:pPr>
              <w:pStyle w:val="TableContents"/>
              <w:bidi w:val="0"/>
              <w:spacing w:before="0" w:after="283"/>
              <w:jc w:val="right"/>
              <w:rPr/>
            </w:pPr>
            <w:r>
              <w:rPr/>
              <w:t> </w:t>
            </w:r>
          </w:p>
        </w:tc>
        <w:tc>
          <w:tcPr>
            <w:tcW w:w="1497" w:type="dxa"/>
            <w:gridSpan w:val="2"/>
            <w:tcBorders/>
            <w:vAlign w:val="center"/>
          </w:tcPr>
          <w:p>
            <w:pPr>
              <w:pStyle w:val="TableContents"/>
              <w:bidi w:val="0"/>
              <w:spacing w:before="0" w:after="283"/>
              <w:jc w:val="right"/>
              <w:rPr/>
            </w:pPr>
            <w:r>
              <w:rPr/>
              <w:t> </w:t>
            </w:r>
          </w:p>
        </w:tc>
        <w:tc>
          <w:tcPr>
            <w:tcW w:w="1514" w:type="dxa"/>
            <w:gridSpan w:val="2"/>
            <w:tcBorders/>
            <w:vAlign w:val="center"/>
          </w:tcPr>
          <w:p>
            <w:pPr>
              <w:pStyle w:val="TableContents"/>
              <w:bidi w:val="0"/>
              <w:spacing w:before="0" w:after="283"/>
              <w:jc w:val="right"/>
              <w:rPr/>
            </w:pPr>
            <w:r>
              <w:rPr/>
              <w:t> </w:t>
            </w:r>
          </w:p>
        </w:tc>
      </w:tr>
      <w:tr>
        <w:trPr/>
        <w:tc>
          <w:tcPr>
            <w:tcW w:w="4009"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Investment Management</w:t>
            </w:r>
          </w:p>
        </w:tc>
        <w:tc>
          <w:tcPr>
            <w:tcW w:w="1600"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1585"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4.8</w:t>
            </w:r>
          </w:p>
        </w:tc>
        <w:tc>
          <w:tcPr>
            <w:tcW w:w="1497"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1514"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4.8</w:t>
            </w:r>
          </w:p>
        </w:tc>
      </w:tr>
      <w:tr>
        <w:trPr/>
        <w:tc>
          <w:tcPr>
            <w:tcW w:w="4009"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International Pension</w:t>
            </w:r>
          </w:p>
        </w:tc>
        <w:tc>
          <w:tcPr>
            <w:tcW w:w="1600" w:type="dxa"/>
            <w:gridSpan w:val="2"/>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18.7</w:t>
            </w:r>
          </w:p>
        </w:tc>
        <w:tc>
          <w:tcPr>
            <w:tcW w:w="1585" w:type="dxa"/>
            <w:gridSpan w:val="2"/>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7.8</w:t>
            </w:r>
          </w:p>
        </w:tc>
        <w:tc>
          <w:tcPr>
            <w:tcW w:w="1497" w:type="dxa"/>
            <w:gridSpan w:val="2"/>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49.6</w:t>
            </w:r>
          </w:p>
        </w:tc>
        <w:tc>
          <w:tcPr>
            <w:tcW w:w="1514" w:type="dxa"/>
            <w:gridSpan w:val="2"/>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33.2</w:t>
            </w:r>
          </w:p>
        </w:tc>
      </w:tr>
      <w:tr>
        <w:trPr/>
        <w:tc>
          <w:tcPr>
            <w:tcW w:w="4009"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Principal Asset Management</w:t>
            </w:r>
          </w:p>
        </w:tc>
        <w:tc>
          <w:tcPr>
            <w:tcW w:w="1600"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18.7</w:t>
            </w:r>
          </w:p>
        </w:tc>
        <w:tc>
          <w:tcPr>
            <w:tcW w:w="1585"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12.6</w:t>
            </w:r>
          </w:p>
        </w:tc>
        <w:tc>
          <w:tcPr>
            <w:tcW w:w="1497"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49.6</w:t>
            </w:r>
          </w:p>
        </w:tc>
        <w:tc>
          <w:tcPr>
            <w:tcW w:w="1514"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38.0</w:t>
            </w:r>
          </w:p>
        </w:tc>
      </w:tr>
      <w:tr>
        <w:trPr/>
        <w:tc>
          <w:tcPr>
            <w:tcW w:w="4009" w:type="dxa"/>
            <w:tcBorders/>
            <w:vAlign w:val="center"/>
          </w:tcPr>
          <w:p>
            <w:pPr>
              <w:pStyle w:val="TableContents"/>
              <w:bidi w:val="0"/>
              <w:spacing w:before="0" w:after="283"/>
              <w:jc w:val="left"/>
              <w:rPr/>
            </w:pPr>
            <w:r>
              <w:rPr/>
              <w:t> </w:t>
            </w:r>
          </w:p>
        </w:tc>
        <w:tc>
          <w:tcPr>
            <w:tcW w:w="1600" w:type="dxa"/>
            <w:gridSpan w:val="2"/>
            <w:tcBorders/>
            <w:vAlign w:val="center"/>
          </w:tcPr>
          <w:p>
            <w:pPr>
              <w:pStyle w:val="TableContents"/>
              <w:bidi w:val="0"/>
              <w:spacing w:before="0" w:after="283"/>
              <w:jc w:val="right"/>
              <w:rPr/>
            </w:pPr>
            <w:r>
              <w:rPr/>
              <w:t> </w:t>
            </w:r>
          </w:p>
        </w:tc>
        <w:tc>
          <w:tcPr>
            <w:tcW w:w="1585" w:type="dxa"/>
            <w:gridSpan w:val="2"/>
            <w:tcBorders/>
            <w:vAlign w:val="center"/>
          </w:tcPr>
          <w:p>
            <w:pPr>
              <w:pStyle w:val="TableContents"/>
              <w:bidi w:val="0"/>
              <w:spacing w:before="0" w:after="283"/>
              <w:jc w:val="right"/>
              <w:rPr/>
            </w:pPr>
            <w:r>
              <w:rPr/>
              <w:t> </w:t>
            </w:r>
          </w:p>
        </w:tc>
        <w:tc>
          <w:tcPr>
            <w:tcW w:w="1497" w:type="dxa"/>
            <w:gridSpan w:val="2"/>
            <w:tcBorders/>
            <w:vAlign w:val="center"/>
          </w:tcPr>
          <w:p>
            <w:pPr>
              <w:pStyle w:val="TableContents"/>
              <w:bidi w:val="0"/>
              <w:spacing w:before="0" w:after="283"/>
              <w:jc w:val="right"/>
              <w:rPr/>
            </w:pPr>
            <w:r>
              <w:rPr/>
              <w:t> </w:t>
            </w:r>
          </w:p>
        </w:tc>
        <w:tc>
          <w:tcPr>
            <w:tcW w:w="1514" w:type="dxa"/>
            <w:gridSpan w:val="2"/>
            <w:tcBorders/>
            <w:vAlign w:val="center"/>
          </w:tcPr>
          <w:p>
            <w:pPr>
              <w:pStyle w:val="TableContents"/>
              <w:bidi w:val="0"/>
              <w:spacing w:before="0" w:after="283"/>
              <w:jc w:val="right"/>
              <w:rPr/>
            </w:pPr>
            <w:r>
              <w:rPr/>
              <w:t> </w:t>
            </w:r>
          </w:p>
        </w:tc>
      </w:tr>
      <w:tr>
        <w:trPr/>
        <w:tc>
          <w:tcPr>
            <w:tcW w:w="4009"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Specialty Benefits</w:t>
            </w:r>
          </w:p>
        </w:tc>
        <w:tc>
          <w:tcPr>
            <w:tcW w:w="1600"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(3.0)</w:t>
            </w:r>
          </w:p>
        </w:tc>
        <w:tc>
          <w:tcPr>
            <w:tcW w:w="1585"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2.1</w:t>
            </w:r>
          </w:p>
        </w:tc>
        <w:tc>
          <w:tcPr>
            <w:tcW w:w="1497"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(1.7)</w:t>
            </w:r>
          </w:p>
        </w:tc>
        <w:tc>
          <w:tcPr>
            <w:tcW w:w="1514"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(10.8)</w:t>
            </w:r>
          </w:p>
        </w:tc>
      </w:tr>
      <w:tr>
        <w:trPr/>
        <w:tc>
          <w:tcPr>
            <w:tcW w:w="4009"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Life Insurance</w:t>
            </w:r>
          </w:p>
        </w:tc>
        <w:tc>
          <w:tcPr>
            <w:tcW w:w="1600" w:type="dxa"/>
            <w:gridSpan w:val="2"/>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(4.2)</w:t>
            </w:r>
          </w:p>
        </w:tc>
        <w:tc>
          <w:tcPr>
            <w:tcW w:w="1585" w:type="dxa"/>
            <w:gridSpan w:val="2"/>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(2.8)</w:t>
            </w:r>
          </w:p>
        </w:tc>
        <w:tc>
          <w:tcPr>
            <w:tcW w:w="1497" w:type="dxa"/>
            <w:gridSpan w:val="2"/>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(110.4)</w:t>
            </w:r>
          </w:p>
        </w:tc>
        <w:tc>
          <w:tcPr>
            <w:tcW w:w="1514" w:type="dxa"/>
            <w:gridSpan w:val="2"/>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(89.7)</w:t>
            </w:r>
          </w:p>
        </w:tc>
      </w:tr>
      <w:tr>
        <w:trPr/>
        <w:tc>
          <w:tcPr>
            <w:tcW w:w="4009"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Benefits and Protection</w:t>
            </w:r>
          </w:p>
        </w:tc>
        <w:tc>
          <w:tcPr>
            <w:tcW w:w="1600"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(7.2)</w:t>
            </w:r>
          </w:p>
        </w:tc>
        <w:tc>
          <w:tcPr>
            <w:tcW w:w="1585"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(0.7)</w:t>
            </w:r>
          </w:p>
        </w:tc>
        <w:tc>
          <w:tcPr>
            <w:tcW w:w="1497"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(112.1)</w:t>
            </w:r>
          </w:p>
        </w:tc>
        <w:tc>
          <w:tcPr>
            <w:tcW w:w="1514"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(100.5)</w:t>
            </w:r>
          </w:p>
        </w:tc>
      </w:tr>
      <w:tr>
        <w:trPr/>
        <w:tc>
          <w:tcPr>
            <w:tcW w:w="4009" w:type="dxa"/>
            <w:tcBorders/>
            <w:vAlign w:val="center"/>
          </w:tcPr>
          <w:p>
            <w:pPr>
              <w:pStyle w:val="TableContents"/>
              <w:bidi w:val="0"/>
              <w:spacing w:before="0" w:after="283"/>
              <w:jc w:val="left"/>
              <w:rPr/>
            </w:pPr>
            <w:r>
              <w:rPr/>
              <w:t> </w:t>
            </w:r>
          </w:p>
        </w:tc>
        <w:tc>
          <w:tcPr>
            <w:tcW w:w="1600" w:type="dxa"/>
            <w:gridSpan w:val="2"/>
            <w:tcBorders/>
            <w:vAlign w:val="center"/>
          </w:tcPr>
          <w:p>
            <w:pPr>
              <w:pStyle w:val="TableContents"/>
              <w:bidi w:val="0"/>
              <w:spacing w:before="0" w:after="283"/>
              <w:jc w:val="right"/>
              <w:rPr/>
            </w:pPr>
            <w:r>
              <w:rPr/>
              <w:t> </w:t>
            </w:r>
          </w:p>
        </w:tc>
        <w:tc>
          <w:tcPr>
            <w:tcW w:w="1585" w:type="dxa"/>
            <w:gridSpan w:val="2"/>
            <w:tcBorders/>
            <w:vAlign w:val="center"/>
          </w:tcPr>
          <w:p>
            <w:pPr>
              <w:pStyle w:val="TableContents"/>
              <w:bidi w:val="0"/>
              <w:spacing w:before="0" w:after="283"/>
              <w:jc w:val="right"/>
              <w:rPr/>
            </w:pPr>
            <w:r>
              <w:rPr/>
              <w:t> </w:t>
            </w:r>
          </w:p>
        </w:tc>
        <w:tc>
          <w:tcPr>
            <w:tcW w:w="1497" w:type="dxa"/>
            <w:gridSpan w:val="2"/>
            <w:tcBorders/>
            <w:vAlign w:val="center"/>
          </w:tcPr>
          <w:p>
            <w:pPr>
              <w:pStyle w:val="TableContents"/>
              <w:bidi w:val="0"/>
              <w:spacing w:before="0" w:after="283"/>
              <w:jc w:val="right"/>
              <w:rPr/>
            </w:pPr>
            <w:r>
              <w:rPr/>
              <w:t> </w:t>
            </w:r>
          </w:p>
        </w:tc>
        <w:tc>
          <w:tcPr>
            <w:tcW w:w="1514" w:type="dxa"/>
            <w:gridSpan w:val="2"/>
            <w:tcBorders/>
            <w:vAlign w:val="center"/>
          </w:tcPr>
          <w:p>
            <w:pPr>
              <w:pStyle w:val="TableContents"/>
              <w:bidi w:val="0"/>
              <w:spacing w:before="0" w:after="283"/>
              <w:jc w:val="right"/>
              <w:rPr/>
            </w:pPr>
            <w:r>
              <w:rPr/>
              <w:t> </w:t>
            </w:r>
          </w:p>
        </w:tc>
      </w:tr>
      <w:tr>
        <w:trPr/>
        <w:tc>
          <w:tcPr>
            <w:tcW w:w="4009"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Corporate</w:t>
            </w:r>
          </w:p>
        </w:tc>
        <w:tc>
          <w:tcPr>
            <w:tcW w:w="1600" w:type="dxa"/>
            <w:gridSpan w:val="2"/>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8.4</w:t>
            </w:r>
          </w:p>
        </w:tc>
        <w:tc>
          <w:tcPr>
            <w:tcW w:w="1585" w:type="dxa"/>
            <w:gridSpan w:val="2"/>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16.3</w:t>
            </w:r>
          </w:p>
        </w:tc>
        <w:tc>
          <w:tcPr>
            <w:tcW w:w="1497" w:type="dxa"/>
            <w:gridSpan w:val="2"/>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10.0</w:t>
            </w:r>
          </w:p>
        </w:tc>
        <w:tc>
          <w:tcPr>
            <w:tcW w:w="1514" w:type="dxa"/>
            <w:gridSpan w:val="2"/>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17.6</w:t>
            </w:r>
          </w:p>
        </w:tc>
      </w:tr>
      <w:tr>
        <w:trPr/>
        <w:tc>
          <w:tcPr>
            <w:tcW w:w="4009" w:type="dxa"/>
            <w:tcBorders/>
            <w:vAlign w:val="center"/>
          </w:tcPr>
          <w:p>
            <w:pPr>
              <w:pStyle w:val="TableContents"/>
              <w:bidi w:val="0"/>
              <w:spacing w:before="0" w:after="283"/>
              <w:jc w:val="left"/>
              <w:rPr>
                <w:rFonts w:ascii="Arial;Helvetica;Sans-Serif" w:hAnsi="Arial;Helvetica;Sans-Serif"/>
                <w:b/>
                <w:i/>
                <w:sz w:val="18"/>
              </w:rPr>
            </w:pPr>
            <w:r>
              <w:rPr>
                <w:rFonts w:ascii="Arial;Helvetica;Sans-Serif" w:hAnsi="Arial;Helvetica;Sans-Serif"/>
                <w:b/>
                <w:i/>
                <w:sz w:val="18"/>
              </w:rPr>
              <w:t>Total segment pre-tax operating earnings (losses)</w:t>
            </w:r>
          </w:p>
        </w:tc>
        <w:tc>
          <w:tcPr>
            <w:tcW w:w="125" w:type="dxa"/>
            <w:tcBorders/>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w:t>
            </w:r>
          </w:p>
        </w:tc>
        <w:tc>
          <w:tcPr>
            <w:tcW w:w="1475" w:type="dxa"/>
            <w:tcBorders/>
            <w:vAlign w:val="center"/>
          </w:tcPr>
          <w:p>
            <w:pPr>
              <w:pStyle w:val="TableContents"/>
              <w:bidi w:val="0"/>
              <w:spacing w:before="0" w:after="283"/>
              <w:jc w:val="right"/>
              <w:rPr/>
            </w:pPr>
            <w:r>
              <w:rPr/>
              <w:t>                 </w:t>
            </w:r>
            <w:r>
              <w:rPr>
                <w:rFonts w:ascii="Arial;Helvetica;Sans-Serif" w:hAnsi="Arial;Helvetica;Sans-Serif"/>
                <w:b/>
                <w:sz w:val="18"/>
              </w:rPr>
              <w:t>21.9</w:t>
            </w:r>
          </w:p>
        </w:tc>
        <w:tc>
          <w:tcPr>
            <w:tcW w:w="125" w:type="dxa"/>
            <w:tcBorders/>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w:t>
            </w:r>
          </w:p>
        </w:tc>
        <w:tc>
          <w:tcPr>
            <w:tcW w:w="1460" w:type="dxa"/>
            <w:tcBorders/>
            <w:vAlign w:val="center"/>
          </w:tcPr>
          <w:p>
            <w:pPr>
              <w:pStyle w:val="TableContents"/>
              <w:bidi w:val="0"/>
              <w:spacing w:before="0" w:after="283"/>
              <w:jc w:val="right"/>
              <w:rPr/>
            </w:pPr>
            <w:r>
              <w:rPr/>
              <w:t>                  </w:t>
            </w:r>
            <w:r>
              <w:rPr>
                <w:rFonts w:ascii="Arial;Helvetica;Sans-Serif" w:hAnsi="Arial;Helvetica;Sans-Serif"/>
                <w:b/>
                <w:sz w:val="18"/>
              </w:rPr>
              <w:t>24.1</w:t>
            </w:r>
          </w:p>
        </w:tc>
        <w:tc>
          <w:tcPr>
            <w:tcW w:w="125" w:type="dxa"/>
            <w:tcBorders/>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w:t>
            </w:r>
          </w:p>
        </w:tc>
        <w:tc>
          <w:tcPr>
            <w:tcW w:w="1372" w:type="dxa"/>
            <w:tcBorders/>
            <w:vAlign w:val="center"/>
          </w:tcPr>
          <w:p>
            <w:pPr>
              <w:pStyle w:val="TableContents"/>
              <w:bidi w:val="0"/>
              <w:spacing w:before="0" w:after="283"/>
              <w:jc w:val="right"/>
              <w:rPr/>
            </w:pPr>
            <w:r>
              <w:rPr/>
              <w:t>               </w:t>
            </w:r>
            <w:r>
              <w:rPr>
                <w:rFonts w:ascii="Arial;Helvetica;Sans-Serif" w:hAnsi="Arial;Helvetica;Sans-Serif"/>
                <w:b/>
                <w:sz w:val="18"/>
              </w:rPr>
              <w:t>(77.5)</w:t>
            </w:r>
          </w:p>
        </w:tc>
        <w:tc>
          <w:tcPr>
            <w:tcW w:w="125" w:type="dxa"/>
            <w:tcBorders/>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w:t>
            </w:r>
          </w:p>
        </w:tc>
        <w:tc>
          <w:tcPr>
            <w:tcW w:w="1389" w:type="dxa"/>
            <w:tcBorders/>
            <w:vAlign w:val="center"/>
          </w:tcPr>
          <w:p>
            <w:pPr>
              <w:pStyle w:val="TableContents"/>
              <w:bidi w:val="0"/>
              <w:spacing w:before="0" w:after="283"/>
              <w:jc w:val="right"/>
              <w:rPr/>
            </w:pPr>
            <w:r>
              <w:rPr/>
              <w:t>            </w:t>
            </w:r>
            <w:r>
              <w:rPr>
                <w:rFonts w:ascii="Arial;Helvetica;Sans-Serif" w:hAnsi="Arial;Helvetica;Sans-Serif"/>
                <w:b/>
                <w:sz w:val="18"/>
              </w:rPr>
              <w:t>(132.2)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sz w:val="22"/>
        </w:rPr>
        <w:t xml:space="preserve">Income statement line item details of significant variances are available in our earnings conference call presentation on our </w:t>
      </w:r>
      <w:r>
        <w:rPr>
          <w:rFonts w:ascii="Arial;Helvetica;Sans-Serif" w:hAnsi="Arial;Helvetica;Sans-Serif"/>
          <w:b/>
          <w:i w:val="false"/>
          <w:caps w:val="false"/>
          <w:smallCaps w:val="false"/>
          <w:color w:val="0000FF"/>
          <w:sz w:val="22"/>
          <w:u w:val="single"/>
        </w:rPr>
        <w:t>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100"/>
        <w:jc w:val="left"/>
        <w:rPr>
          <w:bdr w:val="single" w:sz="8" w:space="1" w:color="000000"/>
        </w:rPr>
      </w:pPr>
      <w:r>
        <w:rPr>
          <w:bdr w:val="single" w:sz="8" w:space="1" w:color="000000"/>
        </w:rPr>
        <w:t> </w:t>
      </w:r>
    </w:p>
    <w:p>
      <w:pPr>
        <w:pStyle w:val="TextBody"/>
        <w:bidi w:val="0"/>
        <w:spacing w:before="0" w:after="0"/>
        <w:ind w:left="0" w:right="0" w:hanging="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position w:val="6"/>
          <w:sz w:val="14"/>
          <w:sz w:val="18"/>
        </w:rPr>
        <w:t>10</w:t>
      </w:r>
      <w:r>
        <w:rPr>
          <w:rFonts w:ascii="Arial;Helvetica;Sans-Serif" w:hAnsi="Arial;Helvetica;Sans-Serif"/>
          <w:b w:val="false"/>
          <w:i w:val="false"/>
          <w:caps w:val="false"/>
          <w:smallCaps w:val="false"/>
          <w:sz w:val="18"/>
        </w:rPr>
        <w:t xml:space="preserve"> Significant variances (SVs) in 2Q26 include 1) lower than expected variable investment income in International Pension, Specialty Benefits, and Life Insurance, partially offset by higher than expected variable investment income in RIS and Corporate; 2) higher than expected encaje performance partially offset by lower than expected Latin American inflation in International Pension. SVs in 2Q25 include 1) lower than expected variable investment income in RIS, Specialty Benefits, and Life Insurance, partially offset by higher than expected variable investment income in Corporate; 2) impact of higher than expected encaje performance, partially offset by Latin American inflation in International Pension; 3) impact from a one-time expense accrual release in RIS, Investment Management, Specialty Benefits, Life Insurance and Corporate. SVs on a trailing twelve months in 2Q26 include 1) lower than expected variable investment income in RIS, International Pension, Specialty Benefits, and Life Insurance, partially offset by higher than expected variable investment income in Corporate; 2) impacts of 2025 actuarial assumption review; 3) higher than expected encaje performance and Latin American inflation in International Pension. SVs on a trailing twelve months in 2Q25 include 1) lower than expected variable investment income in RIS, International Pension, Specialty Benefits, and Life Insurance, partially offset by higher than expected variable investment income in Corporate; 2) impacts of 2024 actuarial assumption review; 3) higher than expected encaje performance and Latin American inflation in International Pension; 4) impact from a one-time expense accrual release in RIS, Investment Management, Specialty Benefits, Life Insurance, and Corporate; 5) impact of GAAP-only regulatory closed block adjustment in Life Insurance; 6) impact of model refinement in Specialty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color w:val="004C97"/>
        </w:rPr>
      </w:pPr>
      <w:r>
        <w:rPr>
          <w:caps w:val="false"/>
          <w:smallCaps w:val="false"/>
          <w:color w:val="004C97"/>
        </w:rPr>
        <w:t> </w:t>
      </w:r>
    </w:p>
    <w:p>
      <w:pPr>
        <w:pStyle w:val="TextBody"/>
        <w:bidi w:val="0"/>
        <w:spacing w:before="0" w:after="0"/>
        <w:ind w:left="0" w:right="0" w:hanging="0"/>
        <w:jc w:val="left"/>
        <w:rPr>
          <w:rFonts w:ascii="Arial;Helvetica;Sans-Serif" w:hAnsi="Arial;Helvetica;Sans-Serif"/>
          <w:b/>
          <w:i w:val="false"/>
          <w:caps w:val="false"/>
          <w:smallCaps w:val="false"/>
          <w:color w:val="004C97"/>
          <w:sz w:val="22"/>
        </w:rPr>
      </w:pPr>
      <w:r>
        <w:rPr>
          <w:rFonts w:ascii="Arial;Helvetica;Sans-Serif" w:hAnsi="Arial;Helvetica;Sans-Serif"/>
          <w:b/>
          <w:i w:val="false"/>
          <w:caps w:val="false"/>
          <w:smallCaps w:val="false"/>
          <w:color w:val="004C97"/>
          <w:sz w:val="22"/>
        </w:rPr>
        <w:t>Earnings Conference Call</w:t>
      </w:r>
    </w:p>
    <w:p>
      <w:pPr>
        <w:pStyle w:val="TextBody"/>
        <w:bidi w:val="0"/>
        <w:spacing w:before="0" w:after="0"/>
        <w:ind w:left="0" w:right="0" w:hanging="0"/>
        <w:jc w:val="left"/>
        <w:rPr>
          <w:caps w:val="false"/>
          <w:smallCaps w:val="false"/>
          <w:color w:val="004C97"/>
        </w:rPr>
      </w:pPr>
      <w:r>
        <w:rPr>
          <w:caps w:val="false"/>
          <w:smallCaps w:val="false"/>
          <w:color w:val="004C97"/>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On Tuesday, Jul. 28, 2026, at 10:00 a.m. (ET), Chair, President and Chief Executive Officer Deanna Strable and Executive Vice President and Chief Financial Officer Joel Pitz will lead a discussion of results during a live conference call, which can be accessed as follows: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2"/>
              </w:rPr>
            </w:pPr>
            <w:r>
              <w:rPr>
                <w:rFonts w:ascii="Symbol" w:hAnsi="Symbol"/>
                <w:sz w:val="22"/>
              </w:rPr>
              <w:t>·</w:t>
            </w:r>
          </w:p>
        </w:tc>
        <w:tc>
          <w:tcPr>
            <w:tcW w:w="10043" w:type="dxa"/>
            <w:tcBorders/>
            <w:vAlign w:val="center"/>
          </w:tcPr>
          <w:p>
            <w:pPr>
              <w:pStyle w:val="TableContents"/>
              <w:bidi w:val="0"/>
              <w:spacing w:before="0" w:after="283"/>
              <w:jc w:val="left"/>
              <w:rPr/>
            </w:pPr>
            <w:r>
              <w:rPr>
                <w:rFonts w:ascii="Arial;Helvetica;Sans-Serif" w:hAnsi="Arial;Helvetica;Sans-Serif"/>
                <w:color w:val="000000"/>
                <w:sz w:val="22"/>
              </w:rPr>
              <w:t xml:space="preserve">Via live Internet webcast. Please go to </w:t>
            </w:r>
            <w:r>
              <w:rPr>
                <w:rFonts w:ascii="Arial;Helvetica;Sans-Serif" w:hAnsi="Arial;Helvetica;Sans-Serif"/>
                <w:color w:val="0000FF"/>
                <w:sz w:val="22"/>
                <w:u w:val="single"/>
              </w:rPr>
              <w:t>investors.principal.com</w:t>
            </w:r>
            <w:r>
              <w:rPr/>
              <w:t xml:space="preserve"> </w:t>
            </w:r>
            <w:r>
              <w:rPr>
                <w:rFonts w:ascii="Arial;Helvetica;Sans-Serif" w:hAnsi="Arial;Helvetica;Sans-Serif"/>
                <w:color w:val="000000"/>
                <w:sz w:val="22"/>
              </w:rPr>
              <w:t xml:space="preserve">at least 10-15 minutes prior to the start of the call to register, and to download and install any necessary audio software. </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2"/>
              </w:rPr>
            </w:pPr>
            <w:r>
              <w:rPr>
                <w:rFonts w:ascii="Symbol" w:hAnsi="Symbol"/>
                <w:sz w:val="22"/>
              </w:rPr>
              <w:t>·</w:t>
            </w:r>
          </w:p>
        </w:tc>
        <w:tc>
          <w:tcPr>
            <w:tcW w:w="10043" w:type="dxa"/>
            <w:tcBorders/>
            <w:vAlign w:val="center"/>
          </w:tcPr>
          <w:p>
            <w:pPr>
              <w:pStyle w:val="TableContents"/>
              <w:bidi w:val="0"/>
              <w:spacing w:before="0" w:after="283"/>
              <w:jc w:val="left"/>
              <w:rPr>
                <w:rFonts w:ascii="Arial;Helvetica;Sans-Serif" w:hAnsi="Arial;Helvetica;Sans-Serif"/>
              </w:rPr>
            </w:pPr>
            <w:r>
              <w:rPr>
                <w:rFonts w:ascii="Arial;Helvetica;Sans-Serif" w:hAnsi="Arial;Helvetica;Sans-Serif"/>
              </w:rPr>
              <w:t>Analysts who will be asking questions will be sent a dial in number and authorization code in advance of the call.</w:t>
            </w:r>
          </w:p>
        </w:tc>
      </w:tr>
    </w:tbl>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2"/>
              </w:rPr>
            </w:pPr>
            <w:r>
              <w:rPr>
                <w:rFonts w:ascii="Symbol" w:hAnsi="Symbol"/>
                <w:sz w:val="22"/>
              </w:rPr>
              <w:t>·</w:t>
            </w:r>
          </w:p>
        </w:tc>
        <w:tc>
          <w:tcPr>
            <w:tcW w:w="10043" w:type="dxa"/>
            <w:tcBorders/>
            <w:vAlign w:val="center"/>
          </w:tcPr>
          <w:p>
            <w:pPr>
              <w:pStyle w:val="TableContents"/>
              <w:bidi w:val="0"/>
              <w:spacing w:before="0" w:after="283"/>
              <w:jc w:val="left"/>
              <w:rPr/>
            </w:pPr>
            <w:r>
              <w:rPr>
                <w:rFonts w:ascii="Arial;Helvetica;Sans-Serif" w:hAnsi="Arial;Helvetica;Sans-Serif"/>
                <w:color w:val="000000"/>
              </w:rPr>
              <w:t xml:space="preserve">Replay of the earnings call via webcast as well as a transcript of the call will be available after the call at </w:t>
            </w:r>
            <w:r>
              <w:rPr>
                <w:rFonts w:ascii="Arial;Helvetica;Sans-Serif" w:hAnsi="Arial;Helvetica;Sans-Serif"/>
                <w:color w:val="0000FF"/>
                <w:u w:val="single"/>
              </w:rPr>
              <w:t>investors.principal.com</w:t>
            </w:r>
            <w:r>
              <w:rPr>
                <w:rFonts w:ascii="Arial;Helvetica;Sans-Serif" w:hAnsi="Arial;Helvetica;Sans-Serif"/>
                <w:color w:val="00000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 xml:space="preserve">The company’s financial supplement and slide presentation is currently available at </w:t>
      </w:r>
      <w:r>
        <w:rPr>
          <w:rFonts w:ascii="Arial;Helvetica;Sans-Serif" w:hAnsi="Arial;Helvetica;Sans-Serif"/>
          <w:b w:val="false"/>
          <w:i w:val="false"/>
          <w:caps w:val="false"/>
          <w:smallCaps w:val="false"/>
          <w:color w:val="0000FF"/>
          <w:sz w:val="22"/>
          <w:u w:val="single"/>
        </w:rPr>
        <w:t>investors.principal.com</w:t>
      </w:r>
      <w:r>
        <w:rPr>
          <w:rFonts w:ascii="Arial;Helvetica;Sans-Serif" w:hAnsi="Arial;Helvetica;Sans-Serif"/>
          <w:b w:val="false"/>
          <w:i w:val="false"/>
          <w:caps w:val="false"/>
          <w:smallCaps w:val="false"/>
          <w:sz w:val="22"/>
        </w:rPr>
        <w:t>, and may be referred to during the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Forward Looking Statements</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This release contains statements that constitute forward-looking statements within the meaning of the Private Securities Litigation Reform Act of 1995, including statements relating to share repurchases and planned dividends, the realization of our growth and business strategies and results from ongoing operations. Forward-looking statements are made based upon our current expectations and beliefs concerning future developments and their potential effects on us. Such forward-looking statements are not guarantees of future performance and actual results may differ materially from the results anticipated in the forward-looking statements. We describe risks, uncertainties and factors that could cause or contribute to such material differences in our filings with the Securities and Exchange Commission, including in the “Risk Factors” and “Note Concerning Forward-Looking Statements” sections in our annual report on Form 10-K for the year ended Dec. 31, 2025, as updated or supplemented from time to time in subsequent filings. We assume no obligation to update any forward-looking statement for any reason, which speaks as of its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Use of Non-GAAP Financial Measures</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The company uses a number of non-GAAP financial measures that management believes are useful to investors because they illustrate the performance of normal, ongoing operations, which is important in understanding and evaluating the company’s financial condition and results of operations. They are not, however, a substitute for U.S. GAAP financial measures. Therefore, the company has provided reconciliations of the non-GAAP measures to the most directly comparable U.S. GAAP measure at the end of the release. The company adjusts U.S. GAAP measures for items not directly related to ongoing operations. However, it is possible these adjusting items have occurred in the past and could recur in future reporting periods. Management also uses non-GAAP measures for goal setting, as a basis for determining employee and senior management awards and compensation and evaluating performance on a basis comparable to that used by investors and securities analysts.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i w:val="false"/>
          <w:caps w:val="false"/>
          <w:smallCaps w:val="false"/>
          <w:sz w:val="22"/>
        </w:rPr>
        <w:t>About Principal</w:t>
      </w:r>
      <w:r>
        <w:rPr>
          <w:rFonts w:ascii="Arial;Helvetica;Sans-Serif" w:hAnsi="Arial;Helvetica;Sans-Serif"/>
          <w:b/>
          <w:i w:val="false"/>
          <w:caps w:val="false"/>
          <w:smallCaps w:val="false"/>
          <w:position w:val="7"/>
          <w:sz w:val="18"/>
          <w:sz w:val="22"/>
        </w:rPr>
        <w:t>®11</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Principal Financial Group</w:t>
      </w:r>
      <w:r>
        <w:rPr>
          <w:rFonts w:ascii="Arial;Helvetica;Sans-Serif" w:hAnsi="Arial;Helvetica;Sans-Serif"/>
          <w:b w:val="false"/>
          <w:i w:val="false"/>
          <w:caps w:val="false"/>
          <w:smallCaps w:val="false"/>
          <w:position w:val="7"/>
          <w:sz w:val="18"/>
          <w:sz w:val="22"/>
        </w:rPr>
        <w:t>®</w:t>
      </w:r>
      <w:r>
        <w:rPr>
          <w:rFonts w:ascii="Arial;Helvetica;Sans-Serif" w:hAnsi="Arial;Helvetica;Sans-Serif"/>
          <w:b w:val="false"/>
          <w:i w:val="false"/>
          <w:caps w:val="false"/>
          <w:smallCaps w:val="false"/>
          <w:sz w:val="22"/>
        </w:rPr>
        <w:t xml:space="preserve"> (Nasdaq: PFG) is a global financial company with over 19,000 employees</w:t>
      </w:r>
      <w:r>
        <w:rPr>
          <w:rFonts w:ascii="Arial;Helvetica;Sans-Serif" w:hAnsi="Arial;Helvetica;Sans-Serif"/>
          <w:b w:val="false"/>
          <w:i w:val="false"/>
          <w:caps w:val="false"/>
          <w:smallCaps w:val="false"/>
          <w:position w:val="7"/>
          <w:sz w:val="18"/>
          <w:sz w:val="22"/>
        </w:rPr>
        <w:t>12</w:t>
      </w:r>
      <w:r>
        <w:rPr>
          <w:rFonts w:ascii="Arial;Helvetica;Sans-Serif" w:hAnsi="Arial;Helvetica;Sans-Serif"/>
          <w:b w:val="false"/>
          <w:i w:val="false"/>
          <w:caps w:val="false"/>
          <w:smallCaps w:val="false"/>
          <w:sz w:val="22"/>
        </w:rPr>
        <w:t xml:space="preserve"> passionate about improving the wealth and well-being of people and businesses. In business for 147 years, we’re helping 83 million customers</w:t>
      </w:r>
      <w:r>
        <w:rPr>
          <w:rFonts w:ascii="Arial;Helvetica;Sans-Serif" w:hAnsi="Arial;Helvetica;Sans-Serif"/>
          <w:b w:val="false"/>
          <w:i w:val="false"/>
          <w:caps w:val="false"/>
          <w:smallCaps w:val="false"/>
          <w:position w:val="7"/>
          <w:sz w:val="18"/>
          <w:sz w:val="22"/>
        </w:rPr>
        <w:t>12</w:t>
      </w:r>
      <w:r>
        <w:rPr>
          <w:rFonts w:ascii="Arial;Helvetica;Sans-Serif" w:hAnsi="Arial;Helvetica;Sans-Serif"/>
          <w:b w:val="false"/>
          <w:i w:val="false"/>
          <w:caps w:val="false"/>
          <w:smallCaps w:val="false"/>
          <w:sz w:val="22"/>
        </w:rPr>
        <w:t xml:space="preserve"> plan, insure, invest, and retire, while working to support the communities where we do business, and building an inclusive workforce. Principal</w:t>
      </w:r>
      <w:r>
        <w:rPr>
          <w:rFonts w:ascii="Arial;Helvetica;Sans-Serif" w:hAnsi="Arial;Helvetica;Sans-Serif"/>
          <w:b w:val="false"/>
          <w:i w:val="false"/>
          <w:caps w:val="false"/>
          <w:smallCaps w:val="false"/>
          <w:position w:val="7"/>
          <w:sz w:val="18"/>
          <w:sz w:val="22"/>
        </w:rPr>
        <w:t>®</w:t>
      </w:r>
      <w:r>
        <w:rPr>
          <w:rFonts w:ascii="Arial;Helvetica;Sans-Serif" w:hAnsi="Arial;Helvetica;Sans-Serif"/>
          <w:b w:val="false"/>
          <w:i w:val="false"/>
          <w:caps w:val="false"/>
          <w:smallCaps w:val="false"/>
          <w:sz w:val="22"/>
        </w:rPr>
        <w:t xml:space="preserve"> is proud to be recognized as one of the 2026 World’s Most Ethical Companies</w:t>
      </w:r>
      <w:r>
        <w:rPr>
          <w:rFonts w:ascii="Arial;Helvetica;Sans-Serif" w:hAnsi="Arial;Helvetica;Sans-Serif"/>
          <w:b w:val="false"/>
          <w:i w:val="false"/>
          <w:caps w:val="false"/>
          <w:smallCaps w:val="false"/>
          <w:position w:val="7"/>
          <w:sz w:val="18"/>
          <w:sz w:val="22"/>
        </w:rPr>
        <w:t>13</w:t>
      </w:r>
      <w:r>
        <w:rPr>
          <w:rFonts w:ascii="Arial;Helvetica;Sans-Serif" w:hAnsi="Arial;Helvetica;Sans-Serif"/>
          <w:b w:val="false"/>
          <w:i w:val="false"/>
          <w:caps w:val="false"/>
          <w:smallCaps w:val="false"/>
          <w:sz w:val="22"/>
        </w:rPr>
        <w:t xml:space="preserve"> and named as a “Best Place to Work in Money Management</w:t>
      </w:r>
      <w:r>
        <w:rPr>
          <w:rFonts w:ascii="Arial;Helvetica;Sans-Serif" w:hAnsi="Arial;Helvetica;Sans-Serif"/>
          <w:b w:val="false"/>
          <w:i w:val="false"/>
          <w:caps w:val="false"/>
          <w:smallCaps w:val="false"/>
          <w:position w:val="7"/>
          <w:sz w:val="18"/>
          <w:sz w:val="22"/>
        </w:rPr>
        <w:t>14</w:t>
      </w:r>
      <w:r>
        <w:rPr>
          <w:rFonts w:ascii="Arial;Helvetica;Sans-Serif" w:hAnsi="Arial;Helvetica;Sans-Serif"/>
          <w:b w:val="false"/>
          <w:i w:val="false"/>
          <w:caps w:val="false"/>
          <w:smallCaps w:val="false"/>
          <w:sz w:val="22"/>
        </w:rPr>
        <w:t xml:space="preserve">.” Learn more about Principal and our commitment to building a better future at </w:t>
      </w:r>
      <w:r>
        <w:rPr>
          <w:rFonts w:ascii="Arial;Helvetica;Sans-Serif" w:hAnsi="Arial;Helvetica;Sans-Serif"/>
          <w:b w:val="false"/>
          <w:i w:val="false"/>
          <w:caps w:val="false"/>
          <w:smallCaps w:val="false"/>
          <w:sz w:val="22"/>
          <w:u w:val="single"/>
        </w:rPr>
        <w:t>principal.com</w:t>
      </w:r>
      <w:r>
        <w:rPr>
          <w:rFonts w:ascii="Arial;Helvetica;Sans-Serif" w:hAnsi="Arial;Helvetica;Sans-Serif"/>
          <w:b w:val="false"/>
          <w:i w:val="false"/>
          <w:caps w:val="false"/>
          <w:smallCaps w:val="false"/>
          <w:sz w:val="22"/>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Summary of Principal Financial Group</w:t>
      </w:r>
      <w:r>
        <w:rPr>
          <w:rFonts w:ascii="Arial;Helvetica;Sans-Serif" w:hAnsi="Arial;Helvetica;Sans-Serif"/>
          <w:b/>
          <w:i w:val="false"/>
          <w:caps w:val="false"/>
          <w:smallCaps w:val="false"/>
          <w:position w:val="7"/>
          <w:sz w:val="16"/>
          <w:sz w:val="20"/>
        </w:rPr>
        <w:t>®</w:t>
      </w:r>
      <w:r>
        <w:rPr>
          <w:rFonts w:ascii="Arial;Helvetica;Sans-Serif" w:hAnsi="Arial;Helvetica;Sans-Serif"/>
          <w:b/>
          <w:i w:val="false"/>
          <w:caps w:val="false"/>
          <w:smallCaps w:val="false"/>
          <w:sz w:val="20"/>
        </w:rPr>
        <w:t xml:space="preserve"> and Segment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03"/>
        <w:gridCol w:w="193"/>
        <w:gridCol w:w="690"/>
        <w:gridCol w:w="193"/>
        <w:gridCol w:w="690"/>
        <w:gridCol w:w="170"/>
        <w:gridCol w:w="844"/>
        <w:gridCol w:w="201"/>
        <w:gridCol w:w="921"/>
      </w:tblGrid>
      <w:tr>
        <w:trPr/>
        <w:tc>
          <w:tcPr>
            <w:tcW w:w="6303" w:type="dxa"/>
            <w:vMerge w:val="restart"/>
            <w:tcBorders/>
            <w:shd w:fill="004C97" w:val="clear"/>
            <w:vAlign w:val="center"/>
          </w:tcPr>
          <w:p>
            <w:pPr>
              <w:pStyle w:val="TableContents"/>
              <w:bidi w:val="0"/>
              <w:spacing w:before="0" w:after="0"/>
              <w:ind w:left="180" w:right="0" w:hanging="0"/>
              <w:jc w:val="left"/>
              <w:rPr>
                <w:rFonts w:ascii="Arial;Helvetica;Sans-Serif" w:hAnsi="Arial;Helvetica;Sans-Serif"/>
                <w:b/>
                <w:i w:val="false"/>
                <w:caps w:val="false"/>
                <w:smallCaps w:val="false"/>
                <w:color w:val="FFFFFF"/>
                <w:sz w:val="18"/>
              </w:rPr>
            </w:pPr>
            <w:r>
              <w:rPr>
                <w:rFonts w:ascii="Arial;Helvetica;Sans-Serif" w:hAnsi="Arial;Helvetica;Sans-Serif"/>
                <w:b/>
                <w:i w:val="false"/>
                <w:caps w:val="false"/>
                <w:smallCaps w:val="false"/>
                <w:color w:val="FFFFFF"/>
                <w:sz w:val="18"/>
              </w:rPr>
              <w:t>Principal Financial Group, Inc. Results</w:t>
            </w:r>
          </w:p>
        </w:tc>
        <w:tc>
          <w:tcPr>
            <w:tcW w:w="3902" w:type="dxa"/>
            <w:gridSpan w:val="8"/>
            <w:tcBorders/>
            <w:shd w:fill="004C97" w:val="cle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(in millions)</w:t>
            </w:r>
          </w:p>
        </w:tc>
      </w:tr>
      <w:tr>
        <w:trPr/>
        <w:tc>
          <w:tcPr>
            <w:tcW w:w="6303" w:type="dxa"/>
            <w:vMerge w:val="continue"/>
            <w:tcBorders/>
            <w:shd w:fill="004C97" w:val="clear"/>
            <w:vAlign w:val="center"/>
          </w:tcPr>
          <w:p>
            <w:pPr>
              <w:pStyle w:val="Normal"/>
              <w:bidi w:val="0"/>
              <w:jc w:val="left"/>
              <w:rPr/>
            </w:pPr>
            <w:r>
              <w:rPr/>
            </w:r>
          </w:p>
        </w:tc>
        <w:tc>
          <w:tcPr>
            <w:tcW w:w="1766" w:type="dxa"/>
            <w:gridSpan w:val="4"/>
            <w:tcBorders/>
            <w:shd w:fill="004C97" w:val="cle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Three Months Ended,</w:t>
            </w:r>
          </w:p>
        </w:tc>
        <w:tc>
          <w:tcPr>
            <w:tcW w:w="170" w:type="dxa"/>
            <w:tcBorders/>
            <w:shd w:fill="004C97" w:val="clear"/>
            <w:vAlign w:val="center"/>
          </w:tcPr>
          <w:p>
            <w:pPr>
              <w:pStyle w:val="TableContents"/>
              <w:bidi w:val="0"/>
              <w:spacing w:before="0" w:after="283"/>
              <w:jc w:val="center"/>
              <w:rPr/>
            </w:pPr>
            <w:r>
              <w:rPr/>
              <w:t> </w:t>
            </w:r>
          </w:p>
        </w:tc>
        <w:tc>
          <w:tcPr>
            <w:tcW w:w="1966" w:type="dxa"/>
            <w:gridSpan w:val="3"/>
            <w:tcBorders/>
            <w:shd w:fill="004C97" w:val="cle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Trailing Twelve Months,</w:t>
            </w:r>
          </w:p>
        </w:tc>
      </w:tr>
      <w:tr>
        <w:trPr/>
        <w:tc>
          <w:tcPr>
            <w:tcW w:w="6303" w:type="dxa"/>
            <w:vMerge w:val="continue"/>
            <w:tcBorders/>
            <w:shd w:fill="004C97" w:val="clear"/>
            <w:vAlign w:val="center"/>
          </w:tcPr>
          <w:p>
            <w:pPr>
              <w:pStyle w:val="Normal"/>
              <w:bidi w:val="0"/>
              <w:jc w:val="left"/>
              <w:rPr/>
            </w:pPr>
            <w:r>
              <w:rPr/>
            </w:r>
          </w:p>
        </w:tc>
        <w:tc>
          <w:tcPr>
            <w:tcW w:w="883" w:type="dxa"/>
            <w:gridSpan w:val="2"/>
            <w:tcBorders/>
            <w:shd w:fill="004C97" w:val="cle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2Q26</w:t>
            </w:r>
          </w:p>
        </w:tc>
        <w:tc>
          <w:tcPr>
            <w:tcW w:w="883" w:type="dxa"/>
            <w:gridSpan w:val="2"/>
            <w:tcBorders/>
            <w:shd w:fill="004C97" w:val="cle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2Q25</w:t>
            </w:r>
          </w:p>
        </w:tc>
        <w:tc>
          <w:tcPr>
            <w:tcW w:w="1014" w:type="dxa"/>
            <w:gridSpan w:val="2"/>
            <w:tcBorders/>
            <w:shd w:fill="004C97" w:val="cle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2Q26</w:t>
            </w:r>
          </w:p>
        </w:tc>
        <w:tc>
          <w:tcPr>
            <w:tcW w:w="1122" w:type="dxa"/>
            <w:gridSpan w:val="2"/>
            <w:tcBorders/>
            <w:shd w:fill="004C97" w:val="clear"/>
            <w:vAlign w:val="center"/>
          </w:tcPr>
          <w:p>
            <w:pPr>
              <w:pStyle w:val="TableContents"/>
              <w:bidi w:val="0"/>
              <w:spacing w:before="0" w:after="283"/>
              <w:ind w:left="0" w:right="0" w:hanging="360"/>
              <w:jc w:val="center"/>
              <w:rPr>
                <w:rFonts w:ascii="Arial;Helvetica;Sans-Serif" w:hAnsi="Arial;Helvetica;Sans-Serif"/>
                <w:color w:val="FFFFFF"/>
                <w:sz w:val="18"/>
              </w:rPr>
            </w:pPr>
            <w:r>
              <w:rPr>
                <w:rFonts w:ascii="Arial;Helvetica;Sans-Serif" w:hAnsi="Arial;Helvetica;Sans-Serif"/>
                <w:color w:val="FFFFFF"/>
                <w:sz w:val="18"/>
              </w:rPr>
              <w:t>2Q25</w:t>
            </w:r>
          </w:p>
        </w:tc>
      </w:tr>
      <w:tr>
        <w:trPr/>
        <w:tc>
          <w:tcPr>
            <w:tcW w:w="6303" w:type="dxa"/>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Net income (loss) attributable to PFG*</w:t>
            </w:r>
          </w:p>
        </w:tc>
        <w:tc>
          <w:tcPr>
            <w:tcW w:w="193" w:type="dxa"/>
            <w:tcBorders/>
            <w:vAlign w:val="center"/>
          </w:tcPr>
          <w:p>
            <w:pPr>
              <w:pStyle w:val="TableContents"/>
              <w:bidi w:val="0"/>
              <w:spacing w:before="0" w:after="283"/>
              <w:jc w:val="center"/>
              <w:rPr>
                <w:b/>
                <w:sz w:val="18"/>
              </w:rPr>
            </w:pPr>
            <w:r>
              <w:rPr>
                <w:b/>
                <w:sz w:val="18"/>
              </w:rPr>
              <w:t>$</w:t>
            </w:r>
          </w:p>
        </w:tc>
        <w:tc>
          <w:tcPr>
            <w:tcW w:w="690" w:type="dxa"/>
            <w:tcBorders/>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 xml:space="preserve">403.4 </w:t>
            </w:r>
          </w:p>
        </w:tc>
        <w:tc>
          <w:tcPr>
            <w:tcW w:w="193" w:type="dxa"/>
            <w:tcBorders/>
            <w:vAlign w:val="center"/>
          </w:tcPr>
          <w:p>
            <w:pPr>
              <w:pStyle w:val="TableContents"/>
              <w:bidi w:val="0"/>
              <w:spacing w:before="0" w:after="283"/>
              <w:jc w:val="center"/>
              <w:rPr/>
            </w:pPr>
            <w:r>
              <w:rPr/>
              <w:t> </w:t>
            </w:r>
            <w:r>
              <w:rPr>
                <w:b/>
                <w:sz w:val="18"/>
              </w:rPr>
              <w:t>$</w:t>
            </w:r>
          </w:p>
        </w:tc>
        <w:tc>
          <w:tcPr>
            <w:tcW w:w="690" w:type="dxa"/>
            <w:tcBorders/>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 xml:space="preserve">406.2 </w:t>
            </w:r>
          </w:p>
        </w:tc>
        <w:tc>
          <w:tcPr>
            <w:tcW w:w="170" w:type="dxa"/>
            <w:tcBorders/>
            <w:vAlign w:val="center"/>
          </w:tcPr>
          <w:p>
            <w:pPr>
              <w:pStyle w:val="TableContents"/>
              <w:bidi w:val="0"/>
              <w:spacing w:before="0" w:after="283"/>
              <w:jc w:val="center"/>
              <w:rPr/>
            </w:pPr>
            <w:r>
              <w:rPr/>
              <w:t> </w:t>
            </w:r>
            <w:r>
              <w:rPr>
                <w:b/>
                <w:sz w:val="18"/>
              </w:rPr>
              <w:t>$</w:t>
            </w:r>
          </w:p>
        </w:tc>
        <w:tc>
          <w:tcPr>
            <w:tcW w:w="844" w:type="dxa"/>
            <w:tcBorders/>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1,558.8</w:t>
            </w:r>
          </w:p>
        </w:tc>
        <w:tc>
          <w:tcPr>
            <w:tcW w:w="201" w:type="dxa"/>
            <w:tcBorders/>
            <w:vAlign w:val="center"/>
          </w:tcPr>
          <w:p>
            <w:pPr>
              <w:pStyle w:val="TableContents"/>
              <w:bidi w:val="0"/>
              <w:spacing w:before="0" w:after="283"/>
              <w:jc w:val="center"/>
              <w:rPr/>
            </w:pPr>
            <w:r>
              <w:rPr/>
              <w:t> </w:t>
            </w:r>
            <w:r>
              <w:rPr>
                <w:b/>
                <w:sz w:val="18"/>
              </w:rPr>
              <w:t>$</w:t>
            </w:r>
          </w:p>
        </w:tc>
        <w:tc>
          <w:tcPr>
            <w:tcW w:w="921" w:type="dxa"/>
            <w:tcBorders/>
            <w:vAlign w:val="center"/>
          </w:tcPr>
          <w:p>
            <w:pPr>
              <w:pStyle w:val="TableContents"/>
              <w:bidi w:val="0"/>
              <w:spacing w:before="0" w:after="283"/>
              <w:ind w:left="0" w:right="0" w:hanging="180"/>
              <w:jc w:val="right"/>
              <w:rPr>
                <w:rFonts w:ascii="Arial;Helvetica;Sans-Serif" w:hAnsi="Arial;Helvetica;Sans-Serif"/>
                <w:b/>
                <w:sz w:val="18"/>
              </w:rPr>
            </w:pPr>
            <w:r>
              <w:rPr>
                <w:rFonts w:ascii="Arial;Helvetica;Sans-Serif" w:hAnsi="Arial;Helvetica;Sans-Serif"/>
                <w:b/>
                <w:sz w:val="18"/>
              </w:rPr>
              <w:t>1,139.7</w:t>
            </w:r>
          </w:p>
        </w:tc>
      </w:tr>
      <w:tr>
        <w:trPr/>
        <w:tc>
          <w:tcPr>
            <w:tcW w:w="6303"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(Income) loss from exited business</w:t>
            </w:r>
          </w:p>
        </w:tc>
        <w:tc>
          <w:tcPr>
            <w:tcW w:w="193" w:type="dxa"/>
            <w:tcBorders>
              <w:bottom w:val="single" w:sz="8" w:space="0" w:color="000000"/>
            </w:tcBorders>
            <w:tcMar>
              <w:bottom w:w="40" w:type="dxa"/>
            </w:tcMar>
            <w:vAlign w:val="center"/>
          </w:tcPr>
          <w:p>
            <w:pPr>
              <w:pStyle w:val="TableContents"/>
              <w:bidi w:val="0"/>
              <w:spacing w:before="0" w:after="283"/>
              <w:jc w:val="center"/>
              <w:rPr/>
            </w:pPr>
            <w:r>
              <w:rPr/>
              <w:t> </w:t>
            </w:r>
          </w:p>
        </w:tc>
        <w:tc>
          <w:tcPr>
            <w:tcW w:w="690" w:type="dxa"/>
            <w:tcBorders>
              <w:bottom w:val="single" w:sz="8" w:space="0" w:color="000000"/>
            </w:tcBorders>
            <w:tcMar>
              <w:bottom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131.6</w:t>
            </w:r>
          </w:p>
        </w:tc>
        <w:tc>
          <w:tcPr>
            <w:tcW w:w="193" w:type="dxa"/>
            <w:tcBorders>
              <w:bottom w:val="single" w:sz="8" w:space="0" w:color="000000"/>
            </w:tcBorders>
            <w:tcMar>
              <w:bottom w:w="40" w:type="dxa"/>
            </w:tcMar>
            <w:vAlign w:val="center"/>
          </w:tcPr>
          <w:p>
            <w:pPr>
              <w:pStyle w:val="TableContents"/>
              <w:bidi w:val="0"/>
              <w:spacing w:before="0" w:after="283"/>
              <w:jc w:val="center"/>
              <w:rPr/>
            </w:pPr>
            <w:r>
              <w:rPr/>
              <w:t> </w:t>
            </w:r>
          </w:p>
        </w:tc>
        <w:tc>
          <w:tcPr>
            <w:tcW w:w="690" w:type="dxa"/>
            <w:tcBorders>
              <w:bottom w:val="single" w:sz="8" w:space="0" w:color="000000"/>
            </w:tcBorders>
            <w:tcMar>
              <w:bottom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26.1</w:t>
            </w:r>
          </w:p>
        </w:tc>
        <w:tc>
          <w:tcPr>
            <w:tcW w:w="170" w:type="dxa"/>
            <w:tcBorders>
              <w:bottom w:val="single" w:sz="8" w:space="0" w:color="000000"/>
            </w:tcBorders>
            <w:tcMar>
              <w:bottom w:w="40" w:type="dxa"/>
            </w:tcMar>
            <w:vAlign w:val="center"/>
          </w:tcPr>
          <w:p>
            <w:pPr>
              <w:pStyle w:val="TableContents"/>
              <w:bidi w:val="0"/>
              <w:spacing w:before="0" w:after="283"/>
              <w:jc w:val="center"/>
              <w:rPr/>
            </w:pPr>
            <w:r>
              <w:rPr/>
              <w:t> </w:t>
            </w:r>
          </w:p>
        </w:tc>
        <w:tc>
          <w:tcPr>
            <w:tcW w:w="844" w:type="dxa"/>
            <w:tcBorders>
              <w:bottom w:val="single" w:sz="8" w:space="0" w:color="000000"/>
            </w:tcBorders>
            <w:tcMar>
              <w:bottom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252.2</w:t>
            </w:r>
          </w:p>
        </w:tc>
        <w:tc>
          <w:tcPr>
            <w:tcW w:w="201" w:type="dxa"/>
            <w:tcBorders>
              <w:bottom w:val="single" w:sz="8" w:space="0" w:color="000000"/>
            </w:tcBorders>
            <w:tcMar>
              <w:bottom w:w="40" w:type="dxa"/>
            </w:tcMar>
            <w:vAlign w:val="center"/>
          </w:tcPr>
          <w:p>
            <w:pPr>
              <w:pStyle w:val="TableContents"/>
              <w:bidi w:val="0"/>
              <w:spacing w:before="0" w:after="283"/>
              <w:jc w:val="center"/>
              <w:rPr/>
            </w:pPr>
            <w:r>
              <w:rPr/>
              <w:t> </w:t>
            </w:r>
          </w:p>
        </w:tc>
        <w:tc>
          <w:tcPr>
            <w:tcW w:w="921" w:type="dxa"/>
            <w:tcBorders>
              <w:bottom w:val="single" w:sz="8" w:space="0" w:color="000000"/>
            </w:tcBorders>
            <w:tcMar>
              <w:bottom w:w="40" w:type="dxa"/>
            </w:tcMar>
            <w:vAlign w:val="center"/>
          </w:tcPr>
          <w:p>
            <w:pPr>
              <w:pStyle w:val="TableContents"/>
              <w:bidi w:val="0"/>
              <w:spacing w:before="0" w:after="283"/>
              <w:ind w:left="0" w:right="0" w:hanging="360"/>
              <w:jc w:val="right"/>
              <w:rPr>
                <w:rFonts w:ascii="Arial;Helvetica;Sans-Serif" w:hAnsi="Arial;Helvetica;Sans-Serif"/>
                <w:sz w:val="18"/>
              </w:rPr>
            </w:pPr>
            <w:r>
              <w:rPr>
                <w:rFonts w:ascii="Arial;Helvetica;Sans-Serif" w:hAnsi="Arial;Helvetica;Sans-Serif"/>
                <w:sz w:val="18"/>
              </w:rPr>
              <w:t>364.6</w:t>
            </w:r>
          </w:p>
        </w:tc>
      </w:tr>
      <w:tr>
        <w:trPr/>
        <w:tc>
          <w:tcPr>
            <w:tcW w:w="6303" w:type="dxa"/>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Non-GAAP net income (loss) attributable to PFG excluding exited business</w:t>
            </w:r>
          </w:p>
        </w:tc>
        <w:tc>
          <w:tcPr>
            <w:tcW w:w="193" w:type="dxa"/>
            <w:tcBorders/>
            <w:vAlign w:val="center"/>
          </w:tcPr>
          <w:p>
            <w:pPr>
              <w:pStyle w:val="TableContents"/>
              <w:bidi w:val="0"/>
              <w:spacing w:before="0" w:after="283"/>
              <w:jc w:val="center"/>
              <w:rPr/>
            </w:pPr>
            <w:r>
              <w:rPr/>
              <w:t> </w:t>
            </w:r>
            <w:r>
              <w:rPr>
                <w:b/>
                <w:sz w:val="18"/>
              </w:rPr>
              <w:t>$</w:t>
            </w:r>
          </w:p>
        </w:tc>
        <w:tc>
          <w:tcPr>
            <w:tcW w:w="690" w:type="dxa"/>
            <w:tcBorders/>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 xml:space="preserve">535.0 </w:t>
            </w:r>
          </w:p>
        </w:tc>
        <w:tc>
          <w:tcPr>
            <w:tcW w:w="193" w:type="dxa"/>
            <w:tcBorders/>
            <w:vAlign w:val="center"/>
          </w:tcPr>
          <w:p>
            <w:pPr>
              <w:pStyle w:val="TableContents"/>
              <w:bidi w:val="0"/>
              <w:spacing w:before="0" w:after="283"/>
              <w:jc w:val="center"/>
              <w:rPr/>
            </w:pPr>
            <w:r>
              <w:rPr/>
              <w:t> </w:t>
            </w:r>
            <w:r>
              <w:rPr>
                <w:b/>
                <w:sz w:val="18"/>
              </w:rPr>
              <w:t>$</w:t>
            </w:r>
          </w:p>
        </w:tc>
        <w:tc>
          <w:tcPr>
            <w:tcW w:w="690" w:type="dxa"/>
            <w:tcBorders/>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 xml:space="preserve">432.3 </w:t>
            </w:r>
          </w:p>
        </w:tc>
        <w:tc>
          <w:tcPr>
            <w:tcW w:w="170" w:type="dxa"/>
            <w:tcBorders/>
            <w:vAlign w:val="center"/>
          </w:tcPr>
          <w:p>
            <w:pPr>
              <w:pStyle w:val="TableContents"/>
              <w:bidi w:val="0"/>
              <w:spacing w:before="0" w:after="283"/>
              <w:jc w:val="center"/>
              <w:rPr/>
            </w:pPr>
            <w:r>
              <w:rPr/>
              <w:t> </w:t>
            </w:r>
            <w:r>
              <w:rPr>
                <w:b/>
                <w:sz w:val="18"/>
              </w:rPr>
              <w:t>$</w:t>
            </w:r>
          </w:p>
        </w:tc>
        <w:tc>
          <w:tcPr>
            <w:tcW w:w="844" w:type="dxa"/>
            <w:tcBorders/>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 xml:space="preserve">1,811.0 </w:t>
            </w:r>
          </w:p>
        </w:tc>
        <w:tc>
          <w:tcPr>
            <w:tcW w:w="201" w:type="dxa"/>
            <w:tcBorders/>
            <w:vAlign w:val="center"/>
          </w:tcPr>
          <w:p>
            <w:pPr>
              <w:pStyle w:val="TableContents"/>
              <w:bidi w:val="0"/>
              <w:spacing w:before="0" w:after="283"/>
              <w:jc w:val="center"/>
              <w:rPr/>
            </w:pPr>
            <w:r>
              <w:rPr/>
              <w:t> </w:t>
            </w:r>
            <w:r>
              <w:rPr>
                <w:b/>
                <w:sz w:val="18"/>
              </w:rPr>
              <w:t>$</w:t>
            </w:r>
          </w:p>
        </w:tc>
        <w:tc>
          <w:tcPr>
            <w:tcW w:w="921" w:type="dxa"/>
            <w:tcBorders/>
            <w:vAlign w:val="center"/>
          </w:tcPr>
          <w:p>
            <w:pPr>
              <w:pStyle w:val="TableContents"/>
              <w:bidi w:val="0"/>
              <w:spacing w:before="0" w:after="283"/>
              <w:ind w:left="0" w:right="0" w:hanging="180"/>
              <w:jc w:val="right"/>
              <w:rPr>
                <w:rFonts w:ascii="Arial;Helvetica;Sans-Serif" w:hAnsi="Arial;Helvetica;Sans-Serif"/>
                <w:b/>
                <w:sz w:val="18"/>
              </w:rPr>
            </w:pPr>
            <w:r>
              <w:rPr>
                <w:rFonts w:ascii="Arial;Helvetica;Sans-Serif" w:hAnsi="Arial;Helvetica;Sans-Serif"/>
                <w:b/>
                <w:sz w:val="18"/>
              </w:rPr>
              <w:t xml:space="preserve">1,504.3 </w:t>
            </w:r>
          </w:p>
        </w:tc>
      </w:tr>
      <w:tr>
        <w:trPr/>
        <w:tc>
          <w:tcPr>
            <w:tcW w:w="6303"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Net realized capital (gains) losses, as adjusted</w:t>
            </w:r>
          </w:p>
        </w:tc>
        <w:tc>
          <w:tcPr>
            <w:tcW w:w="193" w:type="dxa"/>
            <w:tcBorders>
              <w:bottom w:val="single" w:sz="8" w:space="0" w:color="000000"/>
            </w:tcBorders>
            <w:tcMar>
              <w:bottom w:w="40" w:type="dxa"/>
            </w:tcMar>
            <w:vAlign w:val="center"/>
          </w:tcPr>
          <w:p>
            <w:pPr>
              <w:pStyle w:val="TableContents"/>
              <w:bidi w:val="0"/>
              <w:spacing w:before="0" w:after="283"/>
              <w:jc w:val="center"/>
              <w:rPr/>
            </w:pPr>
            <w:r>
              <w:rPr/>
              <w:t> </w:t>
            </w:r>
          </w:p>
        </w:tc>
        <w:tc>
          <w:tcPr>
            <w:tcW w:w="690" w:type="dxa"/>
            <w:tcBorders>
              <w:bottom w:val="single" w:sz="8" w:space="0" w:color="000000"/>
            </w:tcBorders>
            <w:tcMar>
              <w:bottom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12.0</w:t>
            </w:r>
          </w:p>
        </w:tc>
        <w:tc>
          <w:tcPr>
            <w:tcW w:w="193" w:type="dxa"/>
            <w:tcBorders>
              <w:bottom w:val="single" w:sz="8" w:space="0" w:color="000000"/>
            </w:tcBorders>
            <w:tcMar>
              <w:bottom w:w="40" w:type="dxa"/>
            </w:tcMar>
            <w:vAlign w:val="center"/>
          </w:tcPr>
          <w:p>
            <w:pPr>
              <w:pStyle w:val="TableContents"/>
              <w:bidi w:val="0"/>
              <w:spacing w:before="0" w:after="283"/>
              <w:jc w:val="center"/>
              <w:rPr/>
            </w:pPr>
            <w:r>
              <w:rPr/>
              <w:t> </w:t>
            </w:r>
          </w:p>
        </w:tc>
        <w:tc>
          <w:tcPr>
            <w:tcW w:w="690" w:type="dxa"/>
            <w:tcBorders>
              <w:bottom w:val="single" w:sz="8" w:space="0" w:color="000000"/>
            </w:tcBorders>
            <w:tcMar>
              <w:bottom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57.0</w:t>
            </w:r>
          </w:p>
        </w:tc>
        <w:tc>
          <w:tcPr>
            <w:tcW w:w="170" w:type="dxa"/>
            <w:tcBorders>
              <w:bottom w:val="single" w:sz="8" w:space="0" w:color="000000"/>
            </w:tcBorders>
            <w:tcMar>
              <w:bottom w:w="40" w:type="dxa"/>
            </w:tcMar>
            <w:vAlign w:val="center"/>
          </w:tcPr>
          <w:p>
            <w:pPr>
              <w:pStyle w:val="TableContents"/>
              <w:bidi w:val="0"/>
              <w:spacing w:before="0" w:after="283"/>
              <w:jc w:val="center"/>
              <w:rPr/>
            </w:pPr>
            <w:r>
              <w:rPr/>
              <w:t> </w:t>
            </w:r>
          </w:p>
        </w:tc>
        <w:tc>
          <w:tcPr>
            <w:tcW w:w="844" w:type="dxa"/>
            <w:tcBorders>
              <w:bottom w:val="single" w:sz="8" w:space="0" w:color="000000"/>
            </w:tcBorders>
            <w:tcMar>
              <w:bottom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153.8</w:t>
            </w:r>
          </w:p>
        </w:tc>
        <w:tc>
          <w:tcPr>
            <w:tcW w:w="201" w:type="dxa"/>
            <w:tcBorders>
              <w:bottom w:val="single" w:sz="8" w:space="0" w:color="000000"/>
            </w:tcBorders>
            <w:tcMar>
              <w:bottom w:w="40" w:type="dxa"/>
            </w:tcMar>
            <w:vAlign w:val="center"/>
          </w:tcPr>
          <w:p>
            <w:pPr>
              <w:pStyle w:val="TableContents"/>
              <w:bidi w:val="0"/>
              <w:spacing w:before="0" w:after="283"/>
              <w:jc w:val="center"/>
              <w:rPr/>
            </w:pPr>
            <w:r>
              <w:rPr/>
              <w:t> </w:t>
            </w:r>
          </w:p>
        </w:tc>
        <w:tc>
          <w:tcPr>
            <w:tcW w:w="921" w:type="dxa"/>
            <w:tcBorders>
              <w:bottom w:val="single" w:sz="8" w:space="0" w:color="000000"/>
            </w:tcBorders>
            <w:tcMar>
              <w:bottom w:w="40" w:type="dxa"/>
            </w:tcMar>
            <w:vAlign w:val="center"/>
          </w:tcPr>
          <w:p>
            <w:pPr>
              <w:pStyle w:val="TableContents"/>
              <w:bidi w:val="0"/>
              <w:spacing w:before="0" w:after="283"/>
              <w:ind w:left="0" w:right="0" w:hanging="360"/>
              <w:jc w:val="right"/>
              <w:rPr>
                <w:rFonts w:ascii="Arial;Helvetica;Sans-Serif" w:hAnsi="Arial;Helvetica;Sans-Serif"/>
                <w:sz w:val="18"/>
              </w:rPr>
            </w:pPr>
            <w:r>
              <w:rPr>
                <w:rFonts w:ascii="Arial;Helvetica;Sans-Serif" w:hAnsi="Arial;Helvetica;Sans-Serif"/>
                <w:sz w:val="18"/>
              </w:rPr>
              <w:t>259.6</w:t>
            </w:r>
          </w:p>
        </w:tc>
      </w:tr>
      <w:tr>
        <w:trPr/>
        <w:tc>
          <w:tcPr>
            <w:tcW w:w="6303" w:type="dxa"/>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Non-GAAP Operating Earnings*</w:t>
            </w:r>
          </w:p>
        </w:tc>
        <w:tc>
          <w:tcPr>
            <w:tcW w:w="193" w:type="dxa"/>
            <w:tcBorders/>
            <w:vAlign w:val="center"/>
          </w:tcPr>
          <w:p>
            <w:pPr>
              <w:pStyle w:val="TableContents"/>
              <w:bidi w:val="0"/>
              <w:spacing w:before="0" w:after="283"/>
              <w:jc w:val="center"/>
              <w:rPr/>
            </w:pPr>
            <w:r>
              <w:rPr/>
              <w:t> </w:t>
            </w:r>
            <w:r>
              <w:rPr>
                <w:b/>
                <w:sz w:val="18"/>
              </w:rPr>
              <w:t>$</w:t>
            </w:r>
          </w:p>
        </w:tc>
        <w:tc>
          <w:tcPr>
            <w:tcW w:w="690" w:type="dxa"/>
            <w:tcBorders/>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547.0</w:t>
            </w:r>
          </w:p>
        </w:tc>
        <w:tc>
          <w:tcPr>
            <w:tcW w:w="193" w:type="dxa"/>
            <w:tcBorders/>
            <w:vAlign w:val="center"/>
          </w:tcPr>
          <w:p>
            <w:pPr>
              <w:pStyle w:val="TableContents"/>
              <w:bidi w:val="0"/>
              <w:spacing w:before="0" w:after="283"/>
              <w:jc w:val="center"/>
              <w:rPr/>
            </w:pPr>
            <w:r>
              <w:rPr/>
              <w:t> </w:t>
            </w:r>
            <w:r>
              <w:rPr>
                <w:b/>
                <w:sz w:val="18"/>
              </w:rPr>
              <w:t>$</w:t>
            </w:r>
          </w:p>
        </w:tc>
        <w:tc>
          <w:tcPr>
            <w:tcW w:w="690" w:type="dxa"/>
            <w:tcBorders/>
            <w:vAlign w:val="center"/>
          </w:tcPr>
          <w:p>
            <w:pPr>
              <w:pStyle w:val="TableContents"/>
              <w:bidi w:val="0"/>
              <w:spacing w:before="0" w:after="283"/>
              <w:jc w:val="right"/>
              <w:rPr/>
            </w:pPr>
            <w:r>
              <w:rPr/>
              <w:t> </w:t>
            </w:r>
            <w:r>
              <w:rPr>
                <w:rFonts w:ascii="Arial;Helvetica;Sans-Serif" w:hAnsi="Arial;Helvetica;Sans-Serif"/>
                <w:b/>
                <w:sz w:val="18"/>
              </w:rPr>
              <w:t>489.3</w:t>
            </w:r>
          </w:p>
        </w:tc>
        <w:tc>
          <w:tcPr>
            <w:tcW w:w="170" w:type="dxa"/>
            <w:tcBorders/>
            <w:vAlign w:val="center"/>
          </w:tcPr>
          <w:p>
            <w:pPr>
              <w:pStyle w:val="TableContents"/>
              <w:bidi w:val="0"/>
              <w:spacing w:before="0" w:after="283"/>
              <w:jc w:val="center"/>
              <w:rPr/>
            </w:pPr>
            <w:r>
              <w:rPr/>
              <w:t> </w:t>
            </w:r>
            <w:r>
              <w:rPr>
                <w:b/>
                <w:sz w:val="18"/>
              </w:rPr>
              <w:t>$</w:t>
            </w:r>
          </w:p>
        </w:tc>
        <w:tc>
          <w:tcPr>
            <w:tcW w:w="844" w:type="dxa"/>
            <w:tcBorders/>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 xml:space="preserve">1,964.8 </w:t>
            </w:r>
          </w:p>
        </w:tc>
        <w:tc>
          <w:tcPr>
            <w:tcW w:w="201" w:type="dxa"/>
            <w:tcBorders/>
            <w:vAlign w:val="center"/>
          </w:tcPr>
          <w:p>
            <w:pPr>
              <w:pStyle w:val="TableContents"/>
              <w:bidi w:val="0"/>
              <w:spacing w:before="0" w:after="283"/>
              <w:jc w:val="center"/>
              <w:rPr/>
            </w:pPr>
            <w:r>
              <w:rPr/>
              <w:t> </w:t>
            </w:r>
            <w:r>
              <w:rPr>
                <w:b/>
                <w:sz w:val="18"/>
              </w:rPr>
              <w:t>$</w:t>
            </w:r>
          </w:p>
        </w:tc>
        <w:tc>
          <w:tcPr>
            <w:tcW w:w="921" w:type="dxa"/>
            <w:tcBorders/>
            <w:vAlign w:val="center"/>
          </w:tcPr>
          <w:p>
            <w:pPr>
              <w:pStyle w:val="TableContents"/>
              <w:bidi w:val="0"/>
              <w:spacing w:before="0" w:after="283"/>
              <w:ind w:left="0" w:right="0" w:hanging="180"/>
              <w:jc w:val="right"/>
              <w:rPr/>
            </w:pPr>
            <w:r>
              <w:rPr/>
              <w:t> </w:t>
            </w:r>
            <w:r>
              <w:rPr>
                <w:rFonts w:ascii="Arial;Helvetica;Sans-Serif" w:hAnsi="Arial;Helvetica;Sans-Serif"/>
                <w:b/>
                <w:sz w:val="18"/>
              </w:rPr>
              <w:t xml:space="preserve">1,763.9 </w:t>
            </w:r>
          </w:p>
        </w:tc>
      </w:tr>
      <w:tr>
        <w:trPr/>
        <w:tc>
          <w:tcPr>
            <w:tcW w:w="6303"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Income taxes</w:t>
            </w:r>
          </w:p>
        </w:tc>
        <w:tc>
          <w:tcPr>
            <w:tcW w:w="193" w:type="dxa"/>
            <w:tcBorders>
              <w:bottom w:val="single" w:sz="8" w:space="0" w:color="000000"/>
            </w:tcBorders>
            <w:tcMar>
              <w:bottom w:w="40" w:type="dxa"/>
            </w:tcMar>
            <w:vAlign w:val="center"/>
          </w:tcPr>
          <w:p>
            <w:pPr>
              <w:pStyle w:val="TableContents"/>
              <w:bidi w:val="0"/>
              <w:spacing w:before="0" w:after="283"/>
              <w:jc w:val="center"/>
              <w:rPr/>
            </w:pPr>
            <w:r>
              <w:rPr/>
              <w:t> </w:t>
            </w:r>
          </w:p>
        </w:tc>
        <w:tc>
          <w:tcPr>
            <w:tcW w:w="690" w:type="dxa"/>
            <w:tcBorders>
              <w:bottom w:val="single" w:sz="8" w:space="0" w:color="000000"/>
            </w:tcBorders>
            <w:tcMar>
              <w:bottom w:w="40" w:type="dxa"/>
            </w:tcMar>
            <w:vAlign w:val="center"/>
          </w:tcPr>
          <w:p>
            <w:pPr>
              <w:pStyle w:val="TableContents"/>
              <w:bidi w:val="0"/>
              <w:spacing w:before="0" w:after="283"/>
              <w:jc w:val="right"/>
              <w:rPr/>
            </w:pPr>
            <w:r>
              <w:rPr/>
              <w:t>  </w:t>
            </w:r>
            <w:r>
              <w:rPr>
                <w:rFonts w:ascii="Arial;Helvetica;Sans-Serif" w:hAnsi="Arial;Helvetica;Sans-Serif"/>
                <w:sz w:val="18"/>
              </w:rPr>
              <w:t>121.8</w:t>
            </w:r>
          </w:p>
        </w:tc>
        <w:tc>
          <w:tcPr>
            <w:tcW w:w="193" w:type="dxa"/>
            <w:tcBorders>
              <w:bottom w:val="single" w:sz="8" w:space="0" w:color="000000"/>
            </w:tcBorders>
            <w:tcMar>
              <w:bottom w:w="40" w:type="dxa"/>
            </w:tcMar>
            <w:vAlign w:val="center"/>
          </w:tcPr>
          <w:p>
            <w:pPr>
              <w:pStyle w:val="TableContents"/>
              <w:bidi w:val="0"/>
              <w:spacing w:before="0" w:after="283"/>
              <w:jc w:val="center"/>
              <w:rPr/>
            </w:pPr>
            <w:r>
              <w:rPr/>
              <w:t> </w:t>
            </w:r>
          </w:p>
        </w:tc>
        <w:tc>
          <w:tcPr>
            <w:tcW w:w="690" w:type="dxa"/>
            <w:tcBorders>
              <w:bottom w:val="single" w:sz="8" w:space="0" w:color="000000"/>
            </w:tcBorders>
            <w:tcMar>
              <w:bottom w:w="40" w:type="dxa"/>
            </w:tcMar>
            <w:vAlign w:val="center"/>
          </w:tcPr>
          <w:p>
            <w:pPr>
              <w:pStyle w:val="TableContents"/>
              <w:bidi w:val="0"/>
              <w:spacing w:before="0" w:after="283"/>
              <w:jc w:val="right"/>
              <w:rPr/>
            </w:pPr>
            <w:r>
              <w:rPr/>
              <w:t>  </w:t>
            </w:r>
            <w:r>
              <w:rPr>
                <w:rFonts w:ascii="Arial;Helvetica;Sans-Serif" w:hAnsi="Arial;Helvetica;Sans-Serif"/>
                <w:sz w:val="18"/>
              </w:rPr>
              <w:t>105.6</w:t>
            </w:r>
          </w:p>
        </w:tc>
        <w:tc>
          <w:tcPr>
            <w:tcW w:w="170" w:type="dxa"/>
            <w:tcBorders>
              <w:bottom w:val="single" w:sz="8" w:space="0" w:color="000000"/>
            </w:tcBorders>
            <w:tcMar>
              <w:bottom w:w="40" w:type="dxa"/>
            </w:tcMar>
            <w:vAlign w:val="center"/>
          </w:tcPr>
          <w:p>
            <w:pPr>
              <w:pStyle w:val="TableContents"/>
              <w:bidi w:val="0"/>
              <w:spacing w:before="0" w:after="283"/>
              <w:jc w:val="center"/>
              <w:rPr/>
            </w:pPr>
            <w:r>
              <w:rPr/>
              <w:t> </w:t>
            </w:r>
          </w:p>
        </w:tc>
        <w:tc>
          <w:tcPr>
            <w:tcW w:w="844" w:type="dxa"/>
            <w:tcBorders>
              <w:bottom w:val="single" w:sz="8" w:space="0" w:color="000000"/>
            </w:tcBorders>
            <w:tcMar>
              <w:bottom w:w="40" w:type="dxa"/>
            </w:tcMar>
            <w:vAlign w:val="center"/>
          </w:tcPr>
          <w:p>
            <w:pPr>
              <w:pStyle w:val="TableContents"/>
              <w:bidi w:val="0"/>
              <w:spacing w:before="0" w:after="283"/>
              <w:jc w:val="right"/>
              <w:rPr/>
            </w:pPr>
            <w:r>
              <w:rPr/>
              <w:t> </w:t>
            </w:r>
            <w:r>
              <w:rPr>
                <w:rFonts w:ascii="Arial;Helvetica;Sans-Serif" w:hAnsi="Arial;Helvetica;Sans-Serif"/>
                <w:sz w:val="18"/>
              </w:rPr>
              <w:t>440.3</w:t>
            </w:r>
          </w:p>
        </w:tc>
        <w:tc>
          <w:tcPr>
            <w:tcW w:w="201" w:type="dxa"/>
            <w:tcBorders>
              <w:bottom w:val="single" w:sz="8" w:space="0" w:color="000000"/>
            </w:tcBorders>
            <w:tcMar>
              <w:bottom w:w="40" w:type="dxa"/>
            </w:tcMar>
            <w:vAlign w:val="center"/>
          </w:tcPr>
          <w:p>
            <w:pPr>
              <w:pStyle w:val="TableContents"/>
              <w:bidi w:val="0"/>
              <w:spacing w:before="0" w:after="283"/>
              <w:jc w:val="center"/>
              <w:rPr/>
            </w:pPr>
            <w:r>
              <w:rPr/>
              <w:t> </w:t>
            </w:r>
          </w:p>
        </w:tc>
        <w:tc>
          <w:tcPr>
            <w:tcW w:w="921" w:type="dxa"/>
            <w:tcBorders>
              <w:bottom w:val="single" w:sz="8" w:space="0" w:color="000000"/>
            </w:tcBorders>
            <w:tcMar>
              <w:bottom w:w="40" w:type="dxa"/>
            </w:tcMar>
            <w:vAlign w:val="center"/>
          </w:tcPr>
          <w:p>
            <w:pPr>
              <w:pStyle w:val="TableContents"/>
              <w:bidi w:val="0"/>
              <w:spacing w:before="0" w:after="283"/>
              <w:ind w:left="0" w:right="0" w:hanging="360"/>
              <w:jc w:val="right"/>
              <w:rPr/>
            </w:pPr>
            <w:r>
              <w:rPr/>
              <w:t> </w:t>
            </w:r>
            <w:r>
              <w:rPr>
                <w:rFonts w:ascii="Arial;Helvetica;Sans-Serif" w:hAnsi="Arial;Helvetica;Sans-Serif"/>
                <w:sz w:val="18"/>
              </w:rPr>
              <w:t>362.8</w:t>
            </w:r>
          </w:p>
        </w:tc>
      </w:tr>
      <w:tr>
        <w:trPr/>
        <w:tc>
          <w:tcPr>
            <w:tcW w:w="6303" w:type="dxa"/>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Non-GAAP Pre-Tax Operating Earnings</w:t>
            </w:r>
          </w:p>
        </w:tc>
        <w:tc>
          <w:tcPr>
            <w:tcW w:w="193" w:type="dxa"/>
            <w:tcBorders/>
            <w:vAlign w:val="center"/>
          </w:tcPr>
          <w:p>
            <w:pPr>
              <w:pStyle w:val="TableContents"/>
              <w:bidi w:val="0"/>
              <w:spacing w:before="0" w:after="283"/>
              <w:jc w:val="center"/>
              <w:rPr/>
            </w:pPr>
            <w:r>
              <w:rPr/>
              <w:t> </w:t>
            </w:r>
            <w:r>
              <w:rPr>
                <w:b/>
                <w:sz w:val="18"/>
              </w:rPr>
              <w:t>$</w:t>
            </w:r>
          </w:p>
        </w:tc>
        <w:tc>
          <w:tcPr>
            <w:tcW w:w="690" w:type="dxa"/>
            <w:tcBorders/>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668.8</w:t>
            </w:r>
          </w:p>
        </w:tc>
        <w:tc>
          <w:tcPr>
            <w:tcW w:w="193" w:type="dxa"/>
            <w:tcBorders/>
            <w:vAlign w:val="center"/>
          </w:tcPr>
          <w:p>
            <w:pPr>
              <w:pStyle w:val="TableContents"/>
              <w:bidi w:val="0"/>
              <w:spacing w:before="0" w:after="283"/>
              <w:jc w:val="center"/>
              <w:rPr/>
            </w:pPr>
            <w:r>
              <w:rPr/>
              <w:t> </w:t>
            </w:r>
            <w:r>
              <w:rPr>
                <w:b/>
                <w:sz w:val="18"/>
              </w:rPr>
              <w:t>$</w:t>
            </w:r>
          </w:p>
        </w:tc>
        <w:tc>
          <w:tcPr>
            <w:tcW w:w="690" w:type="dxa"/>
            <w:tcBorders/>
            <w:vAlign w:val="center"/>
          </w:tcPr>
          <w:p>
            <w:pPr>
              <w:pStyle w:val="TableContents"/>
              <w:bidi w:val="0"/>
              <w:spacing w:before="0" w:after="283"/>
              <w:jc w:val="right"/>
              <w:rPr/>
            </w:pPr>
            <w:r>
              <w:rPr/>
              <w:t> </w:t>
            </w:r>
            <w:r>
              <w:rPr>
                <w:rFonts w:ascii="Arial;Helvetica;Sans-Serif" w:hAnsi="Arial;Helvetica;Sans-Serif"/>
                <w:b/>
                <w:sz w:val="18"/>
              </w:rPr>
              <w:t>594.9</w:t>
            </w:r>
          </w:p>
        </w:tc>
        <w:tc>
          <w:tcPr>
            <w:tcW w:w="170" w:type="dxa"/>
            <w:tcBorders/>
            <w:vAlign w:val="center"/>
          </w:tcPr>
          <w:p>
            <w:pPr>
              <w:pStyle w:val="TableContents"/>
              <w:bidi w:val="0"/>
              <w:spacing w:before="0" w:after="283"/>
              <w:jc w:val="center"/>
              <w:rPr/>
            </w:pPr>
            <w:r>
              <w:rPr/>
              <w:t> </w:t>
            </w:r>
            <w:r>
              <w:rPr>
                <w:b/>
                <w:sz w:val="18"/>
              </w:rPr>
              <w:t>$</w:t>
            </w:r>
          </w:p>
        </w:tc>
        <w:tc>
          <w:tcPr>
            <w:tcW w:w="844" w:type="dxa"/>
            <w:tcBorders/>
            <w:vAlign w:val="center"/>
          </w:tcPr>
          <w:p>
            <w:pPr>
              <w:pStyle w:val="TableContents"/>
              <w:bidi w:val="0"/>
              <w:spacing w:before="0" w:after="283"/>
              <w:jc w:val="right"/>
              <w:rPr/>
            </w:pPr>
            <w:r>
              <w:rPr/>
              <w:t> </w:t>
            </w:r>
            <w:r>
              <w:rPr>
                <w:rFonts w:ascii="Arial;Helvetica;Sans-Serif" w:hAnsi="Arial;Helvetica;Sans-Serif"/>
                <w:b/>
                <w:sz w:val="18"/>
              </w:rPr>
              <w:t>2,405.1</w:t>
            </w:r>
          </w:p>
        </w:tc>
        <w:tc>
          <w:tcPr>
            <w:tcW w:w="201" w:type="dxa"/>
            <w:tcBorders/>
            <w:vAlign w:val="center"/>
          </w:tcPr>
          <w:p>
            <w:pPr>
              <w:pStyle w:val="TableContents"/>
              <w:bidi w:val="0"/>
              <w:spacing w:before="0" w:after="283"/>
              <w:jc w:val="center"/>
              <w:rPr/>
            </w:pPr>
            <w:r>
              <w:rPr/>
              <w:t> </w:t>
            </w:r>
            <w:r>
              <w:rPr>
                <w:b/>
                <w:sz w:val="18"/>
              </w:rPr>
              <w:t>$</w:t>
            </w:r>
          </w:p>
        </w:tc>
        <w:tc>
          <w:tcPr>
            <w:tcW w:w="921" w:type="dxa"/>
            <w:tcBorders/>
            <w:vAlign w:val="center"/>
          </w:tcPr>
          <w:p>
            <w:pPr>
              <w:pStyle w:val="TableContents"/>
              <w:bidi w:val="0"/>
              <w:spacing w:before="0" w:after="283"/>
              <w:ind w:left="0" w:right="0" w:hanging="180"/>
              <w:jc w:val="right"/>
              <w:rPr/>
            </w:pPr>
            <w:r>
              <w:rPr/>
              <w:t>  </w:t>
            </w:r>
            <w:r>
              <w:rPr>
                <w:rFonts w:ascii="Arial;Helvetica;Sans-Serif" w:hAnsi="Arial;Helvetica;Sans-Serif"/>
                <w:b/>
                <w:sz w:val="18"/>
              </w:rPr>
              <w:t>2,126.7</w:t>
            </w:r>
          </w:p>
        </w:tc>
      </w:tr>
      <w:tr>
        <w:trPr/>
        <w:tc>
          <w:tcPr>
            <w:tcW w:w="6303"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283"/>
              <w:jc w:val="center"/>
              <w:rPr/>
            </w:pPr>
            <w:r>
              <w:rPr/>
              <w:t> </w:t>
            </w:r>
          </w:p>
        </w:tc>
        <w:tc>
          <w:tcPr>
            <w:tcW w:w="690" w:type="dxa"/>
            <w:tcBorders/>
            <w:vAlign w:val="center"/>
          </w:tcPr>
          <w:p>
            <w:pPr>
              <w:pStyle w:val="TableContents"/>
              <w:bidi w:val="0"/>
              <w:spacing w:before="0" w:after="283"/>
              <w:jc w:val="right"/>
              <w:rPr/>
            </w:pPr>
            <w:r>
              <w:rPr/>
              <w:t> </w:t>
            </w:r>
          </w:p>
        </w:tc>
        <w:tc>
          <w:tcPr>
            <w:tcW w:w="193" w:type="dxa"/>
            <w:tcBorders/>
            <w:vAlign w:val="center"/>
          </w:tcPr>
          <w:p>
            <w:pPr>
              <w:pStyle w:val="TableContents"/>
              <w:bidi w:val="0"/>
              <w:spacing w:before="0" w:after="283"/>
              <w:jc w:val="center"/>
              <w:rPr/>
            </w:pPr>
            <w:r>
              <w:rPr/>
              <w:t> </w:t>
            </w:r>
          </w:p>
        </w:tc>
        <w:tc>
          <w:tcPr>
            <w:tcW w:w="6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center"/>
              <w:rPr/>
            </w:pPr>
            <w:r>
              <w:rPr/>
              <w:t> </w:t>
            </w:r>
          </w:p>
        </w:tc>
        <w:tc>
          <w:tcPr>
            <w:tcW w:w="844" w:type="dxa"/>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center"/>
              <w:rPr/>
            </w:pPr>
            <w:r>
              <w:rPr/>
              <w:t> </w:t>
            </w:r>
          </w:p>
        </w:tc>
        <w:tc>
          <w:tcPr>
            <w:tcW w:w="921" w:type="dxa"/>
            <w:tcBorders/>
            <w:vAlign w:val="center"/>
          </w:tcPr>
          <w:p>
            <w:pPr>
              <w:pStyle w:val="TableContents"/>
              <w:bidi w:val="0"/>
              <w:spacing w:before="0" w:after="283"/>
              <w:ind w:left="0" w:right="0" w:hanging="360"/>
              <w:jc w:val="right"/>
              <w:rPr/>
            </w:pPr>
            <w:r>
              <w:rPr/>
              <w:t> </w:t>
            </w:r>
          </w:p>
        </w:tc>
      </w:tr>
      <w:tr>
        <w:trPr/>
        <w:tc>
          <w:tcPr>
            <w:tcW w:w="6303" w:type="dxa"/>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Segment Pre-Tax Operating Earnings (Losses):</w:t>
            </w:r>
          </w:p>
        </w:tc>
        <w:tc>
          <w:tcPr>
            <w:tcW w:w="193" w:type="dxa"/>
            <w:tcBorders/>
            <w:vAlign w:val="center"/>
          </w:tcPr>
          <w:p>
            <w:pPr>
              <w:pStyle w:val="TableContents"/>
              <w:bidi w:val="0"/>
              <w:spacing w:before="0" w:after="283"/>
              <w:jc w:val="center"/>
              <w:rPr/>
            </w:pPr>
            <w:r>
              <w:rPr/>
              <w:t> </w:t>
            </w:r>
          </w:p>
        </w:tc>
        <w:tc>
          <w:tcPr>
            <w:tcW w:w="690" w:type="dxa"/>
            <w:tcBorders/>
            <w:vAlign w:val="center"/>
          </w:tcPr>
          <w:p>
            <w:pPr>
              <w:pStyle w:val="TableContents"/>
              <w:bidi w:val="0"/>
              <w:spacing w:before="0" w:after="283"/>
              <w:jc w:val="right"/>
              <w:rPr/>
            </w:pPr>
            <w:r>
              <w:rPr/>
              <w:t> </w:t>
            </w:r>
          </w:p>
        </w:tc>
        <w:tc>
          <w:tcPr>
            <w:tcW w:w="193" w:type="dxa"/>
            <w:tcBorders/>
            <w:vAlign w:val="center"/>
          </w:tcPr>
          <w:p>
            <w:pPr>
              <w:pStyle w:val="TableContents"/>
              <w:bidi w:val="0"/>
              <w:spacing w:before="0" w:after="283"/>
              <w:jc w:val="center"/>
              <w:rPr/>
            </w:pPr>
            <w:r>
              <w:rPr/>
              <w:t> </w:t>
            </w:r>
          </w:p>
        </w:tc>
        <w:tc>
          <w:tcPr>
            <w:tcW w:w="690" w:type="dxa"/>
            <w:tcBorders/>
            <w:vAlign w:val="center"/>
          </w:tcPr>
          <w:p>
            <w:pPr>
              <w:pStyle w:val="TableContents"/>
              <w:bidi w:val="0"/>
              <w:spacing w:before="0" w:after="283"/>
              <w:jc w:val="right"/>
              <w:rPr/>
            </w:pPr>
            <w:r>
              <w:rPr/>
              <w:t> </w:t>
            </w:r>
          </w:p>
        </w:tc>
        <w:tc>
          <w:tcPr>
            <w:tcW w:w="170" w:type="dxa"/>
            <w:tcBorders/>
            <w:vAlign w:val="center"/>
          </w:tcPr>
          <w:p>
            <w:pPr>
              <w:pStyle w:val="TableContents"/>
              <w:bidi w:val="0"/>
              <w:spacing w:before="0" w:after="283"/>
              <w:jc w:val="center"/>
              <w:rPr/>
            </w:pPr>
            <w:r>
              <w:rPr/>
              <w:t> </w:t>
            </w:r>
          </w:p>
        </w:tc>
        <w:tc>
          <w:tcPr>
            <w:tcW w:w="844" w:type="dxa"/>
            <w:tcBorders/>
            <w:vAlign w:val="center"/>
          </w:tcPr>
          <w:p>
            <w:pPr>
              <w:pStyle w:val="TableContents"/>
              <w:bidi w:val="0"/>
              <w:spacing w:before="0" w:after="283"/>
              <w:jc w:val="right"/>
              <w:rPr/>
            </w:pPr>
            <w:r>
              <w:rPr/>
              <w:t> </w:t>
            </w:r>
          </w:p>
        </w:tc>
        <w:tc>
          <w:tcPr>
            <w:tcW w:w="201" w:type="dxa"/>
            <w:tcBorders/>
            <w:vAlign w:val="center"/>
          </w:tcPr>
          <w:p>
            <w:pPr>
              <w:pStyle w:val="TableContents"/>
              <w:bidi w:val="0"/>
              <w:spacing w:before="0" w:after="283"/>
              <w:jc w:val="center"/>
              <w:rPr/>
            </w:pPr>
            <w:r>
              <w:rPr/>
              <w:t> </w:t>
            </w:r>
          </w:p>
        </w:tc>
        <w:tc>
          <w:tcPr>
            <w:tcW w:w="921" w:type="dxa"/>
            <w:tcBorders/>
            <w:vAlign w:val="center"/>
          </w:tcPr>
          <w:p>
            <w:pPr>
              <w:pStyle w:val="TableContents"/>
              <w:bidi w:val="0"/>
              <w:spacing w:before="0" w:after="283"/>
              <w:ind w:left="0" w:right="0" w:hanging="180"/>
              <w:jc w:val="right"/>
              <w:rPr/>
            </w:pPr>
            <w:r>
              <w:rPr/>
              <w:t> </w:t>
            </w:r>
          </w:p>
        </w:tc>
      </w:tr>
      <w:tr>
        <w:trPr/>
        <w:tc>
          <w:tcPr>
            <w:tcW w:w="630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Retirement and Income Solutions</w:t>
            </w:r>
          </w:p>
        </w:tc>
        <w:tc>
          <w:tcPr>
            <w:tcW w:w="193" w:type="dxa"/>
            <w:tcBorders/>
            <w:vAlign w:val="center"/>
          </w:tcPr>
          <w:p>
            <w:pPr>
              <w:pStyle w:val="TableContents"/>
              <w:bidi w:val="0"/>
              <w:spacing w:before="0" w:after="283"/>
              <w:jc w:val="center"/>
              <w:rPr/>
            </w:pPr>
            <w:r>
              <w:rPr/>
              <w:t> </w:t>
            </w:r>
            <w:r>
              <w:rPr>
                <w:sz w:val="18"/>
              </w:rPr>
              <w:t>$</w:t>
            </w:r>
          </w:p>
        </w:tc>
        <w:tc>
          <w:tcPr>
            <w:tcW w:w="690"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 xml:space="preserve">323.3 </w:t>
            </w:r>
          </w:p>
        </w:tc>
        <w:tc>
          <w:tcPr>
            <w:tcW w:w="193" w:type="dxa"/>
            <w:tcBorders/>
            <w:vAlign w:val="center"/>
          </w:tcPr>
          <w:p>
            <w:pPr>
              <w:pStyle w:val="TableContents"/>
              <w:bidi w:val="0"/>
              <w:spacing w:before="0" w:after="283"/>
              <w:jc w:val="center"/>
              <w:rPr/>
            </w:pPr>
            <w:r>
              <w:rPr/>
              <w:t> </w:t>
            </w:r>
            <w:r>
              <w:rPr>
                <w:sz w:val="18"/>
              </w:rPr>
              <w:t>$</w:t>
            </w:r>
          </w:p>
        </w:tc>
        <w:tc>
          <w:tcPr>
            <w:tcW w:w="690"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 xml:space="preserve">292.1 </w:t>
            </w:r>
          </w:p>
        </w:tc>
        <w:tc>
          <w:tcPr>
            <w:tcW w:w="170" w:type="dxa"/>
            <w:tcBorders/>
            <w:vAlign w:val="center"/>
          </w:tcPr>
          <w:p>
            <w:pPr>
              <w:pStyle w:val="TableContents"/>
              <w:bidi w:val="0"/>
              <w:spacing w:before="0" w:after="283"/>
              <w:jc w:val="center"/>
              <w:rPr/>
            </w:pPr>
            <w:r>
              <w:rPr/>
              <w:t> </w:t>
            </w:r>
            <w:r>
              <w:rPr>
                <w:sz w:val="18"/>
              </w:rPr>
              <w:t>$</w:t>
            </w:r>
          </w:p>
        </w:tc>
        <w:tc>
          <w:tcPr>
            <w:tcW w:w="844" w:type="dxa"/>
            <w:tcBorders/>
            <w:vAlign w:val="center"/>
          </w:tcPr>
          <w:p>
            <w:pPr>
              <w:pStyle w:val="TableContents"/>
              <w:bidi w:val="0"/>
              <w:spacing w:before="0" w:after="283"/>
              <w:jc w:val="right"/>
              <w:rPr/>
            </w:pPr>
            <w:r>
              <w:rPr/>
              <w:t> </w:t>
            </w:r>
            <w:r>
              <w:rPr>
                <w:rFonts w:ascii="Arial;Helvetica;Sans-Serif" w:hAnsi="Arial;Helvetica;Sans-Serif"/>
                <w:sz w:val="18"/>
              </w:rPr>
              <w:t>1,235.2</w:t>
            </w:r>
          </w:p>
        </w:tc>
        <w:tc>
          <w:tcPr>
            <w:tcW w:w="201" w:type="dxa"/>
            <w:tcBorders/>
            <w:vAlign w:val="center"/>
          </w:tcPr>
          <w:p>
            <w:pPr>
              <w:pStyle w:val="TableContents"/>
              <w:bidi w:val="0"/>
              <w:spacing w:before="0" w:after="283"/>
              <w:jc w:val="center"/>
              <w:rPr/>
            </w:pPr>
            <w:r>
              <w:rPr/>
              <w:t> </w:t>
            </w:r>
            <w:r>
              <w:rPr>
                <w:sz w:val="18"/>
              </w:rPr>
              <w:t>$</w:t>
            </w:r>
          </w:p>
        </w:tc>
        <w:tc>
          <w:tcPr>
            <w:tcW w:w="921" w:type="dxa"/>
            <w:tcBorders/>
            <w:vAlign w:val="center"/>
          </w:tcPr>
          <w:p>
            <w:pPr>
              <w:pStyle w:val="TableContents"/>
              <w:bidi w:val="0"/>
              <w:spacing w:before="0" w:after="283"/>
              <w:ind w:left="0" w:right="0" w:hanging="180"/>
              <w:jc w:val="right"/>
              <w:rPr/>
            </w:pPr>
            <w:r>
              <w:rPr/>
              <w:t>  </w:t>
            </w:r>
            <w:r>
              <w:rPr>
                <w:rFonts w:ascii="Arial;Helvetica;Sans-Serif" w:hAnsi="Arial;Helvetica;Sans-Serif"/>
                <w:sz w:val="18"/>
              </w:rPr>
              <w:t>1,102.0</w:t>
            </w:r>
          </w:p>
        </w:tc>
      </w:tr>
      <w:tr>
        <w:trPr/>
        <w:tc>
          <w:tcPr>
            <w:tcW w:w="630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Principal Asset Management</w:t>
            </w:r>
          </w:p>
        </w:tc>
        <w:tc>
          <w:tcPr>
            <w:tcW w:w="193" w:type="dxa"/>
            <w:tcBorders/>
            <w:vAlign w:val="center"/>
          </w:tcPr>
          <w:p>
            <w:pPr>
              <w:pStyle w:val="TableContents"/>
              <w:bidi w:val="0"/>
              <w:spacing w:before="0" w:after="283"/>
              <w:jc w:val="center"/>
              <w:rPr/>
            </w:pPr>
            <w:r>
              <w:rPr/>
              <w:t> </w:t>
            </w:r>
          </w:p>
        </w:tc>
        <w:tc>
          <w:tcPr>
            <w:tcW w:w="690"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 xml:space="preserve">256.4 </w:t>
            </w:r>
          </w:p>
        </w:tc>
        <w:tc>
          <w:tcPr>
            <w:tcW w:w="193" w:type="dxa"/>
            <w:tcBorders/>
            <w:vAlign w:val="center"/>
          </w:tcPr>
          <w:p>
            <w:pPr>
              <w:pStyle w:val="TableContents"/>
              <w:bidi w:val="0"/>
              <w:spacing w:before="0" w:after="283"/>
              <w:jc w:val="center"/>
              <w:rPr/>
            </w:pPr>
            <w:r>
              <w:rPr/>
              <w:t> </w:t>
            </w:r>
          </w:p>
        </w:tc>
        <w:tc>
          <w:tcPr>
            <w:tcW w:w="690"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 xml:space="preserve">236.4 </w:t>
            </w:r>
          </w:p>
        </w:tc>
        <w:tc>
          <w:tcPr>
            <w:tcW w:w="170" w:type="dxa"/>
            <w:tcBorders/>
            <w:vAlign w:val="center"/>
          </w:tcPr>
          <w:p>
            <w:pPr>
              <w:pStyle w:val="TableContents"/>
              <w:bidi w:val="0"/>
              <w:spacing w:before="0" w:after="283"/>
              <w:jc w:val="center"/>
              <w:rPr/>
            </w:pPr>
            <w:r>
              <w:rPr/>
              <w:t> </w:t>
            </w:r>
          </w:p>
        </w:tc>
        <w:tc>
          <w:tcPr>
            <w:tcW w:w="844" w:type="dxa"/>
            <w:tcBorders/>
            <w:vAlign w:val="center"/>
          </w:tcPr>
          <w:p>
            <w:pPr>
              <w:pStyle w:val="TableContents"/>
              <w:bidi w:val="0"/>
              <w:spacing w:before="0" w:after="283"/>
              <w:jc w:val="right"/>
              <w:rPr/>
            </w:pPr>
            <w:r>
              <w:rPr/>
              <w:t>   </w:t>
            </w:r>
            <w:r>
              <w:rPr>
                <w:rFonts w:ascii="Arial;Helvetica;Sans-Serif" w:hAnsi="Arial;Helvetica;Sans-Serif"/>
                <w:sz w:val="18"/>
              </w:rPr>
              <w:t xml:space="preserve">971.2 </w:t>
            </w:r>
          </w:p>
        </w:tc>
        <w:tc>
          <w:tcPr>
            <w:tcW w:w="201" w:type="dxa"/>
            <w:tcBorders/>
            <w:vAlign w:val="center"/>
          </w:tcPr>
          <w:p>
            <w:pPr>
              <w:pStyle w:val="TableContents"/>
              <w:bidi w:val="0"/>
              <w:spacing w:before="0" w:after="283"/>
              <w:jc w:val="center"/>
              <w:rPr/>
            </w:pPr>
            <w:r>
              <w:rPr/>
              <w:t> </w:t>
            </w:r>
          </w:p>
        </w:tc>
        <w:tc>
          <w:tcPr>
            <w:tcW w:w="921" w:type="dxa"/>
            <w:tcBorders/>
            <w:vAlign w:val="center"/>
          </w:tcPr>
          <w:p>
            <w:pPr>
              <w:pStyle w:val="TableContents"/>
              <w:bidi w:val="0"/>
              <w:spacing w:before="0" w:after="283"/>
              <w:ind w:left="0" w:right="0" w:hanging="180"/>
              <w:jc w:val="right"/>
              <w:rPr/>
            </w:pPr>
            <w:r>
              <w:rPr/>
              <w:t>   </w:t>
            </w:r>
            <w:r>
              <w:rPr>
                <w:rFonts w:ascii="Arial;Helvetica;Sans-Serif" w:hAnsi="Arial;Helvetica;Sans-Serif"/>
                <w:sz w:val="18"/>
              </w:rPr>
              <w:t xml:space="preserve">908.6 </w:t>
            </w:r>
          </w:p>
        </w:tc>
      </w:tr>
      <w:tr>
        <w:trPr/>
        <w:tc>
          <w:tcPr>
            <w:tcW w:w="6303"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Benefits and Protection</w:t>
            </w:r>
          </w:p>
        </w:tc>
        <w:tc>
          <w:tcPr>
            <w:tcW w:w="193" w:type="dxa"/>
            <w:tcBorders/>
            <w:vAlign w:val="center"/>
          </w:tcPr>
          <w:p>
            <w:pPr>
              <w:pStyle w:val="TableContents"/>
              <w:bidi w:val="0"/>
              <w:spacing w:before="0" w:after="283"/>
              <w:jc w:val="center"/>
              <w:rPr/>
            </w:pPr>
            <w:r>
              <w:rPr/>
              <w:t> </w:t>
            </w:r>
          </w:p>
        </w:tc>
        <w:tc>
          <w:tcPr>
            <w:tcW w:w="690"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 xml:space="preserve">184.1 </w:t>
            </w:r>
          </w:p>
        </w:tc>
        <w:tc>
          <w:tcPr>
            <w:tcW w:w="193" w:type="dxa"/>
            <w:tcBorders/>
            <w:vAlign w:val="center"/>
          </w:tcPr>
          <w:p>
            <w:pPr>
              <w:pStyle w:val="TableContents"/>
              <w:bidi w:val="0"/>
              <w:spacing w:before="0" w:after="283"/>
              <w:jc w:val="center"/>
              <w:rPr/>
            </w:pPr>
            <w:r>
              <w:rPr/>
              <w:t> </w:t>
            </w:r>
          </w:p>
        </w:tc>
        <w:tc>
          <w:tcPr>
            <w:tcW w:w="690"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 xml:space="preserve">147.6 </w:t>
            </w:r>
          </w:p>
        </w:tc>
        <w:tc>
          <w:tcPr>
            <w:tcW w:w="170" w:type="dxa"/>
            <w:tcBorders/>
            <w:vAlign w:val="center"/>
          </w:tcPr>
          <w:p>
            <w:pPr>
              <w:pStyle w:val="TableContents"/>
              <w:bidi w:val="0"/>
              <w:spacing w:before="0" w:after="283"/>
              <w:jc w:val="center"/>
              <w:rPr/>
            </w:pPr>
            <w:r>
              <w:rPr/>
              <w:t> </w:t>
            </w:r>
          </w:p>
        </w:tc>
        <w:tc>
          <w:tcPr>
            <w:tcW w:w="844" w:type="dxa"/>
            <w:tcBorders/>
            <w:vAlign w:val="center"/>
          </w:tcPr>
          <w:p>
            <w:pPr>
              <w:pStyle w:val="TableContents"/>
              <w:bidi w:val="0"/>
              <w:spacing w:before="0" w:after="283"/>
              <w:jc w:val="right"/>
              <w:rPr/>
            </w:pPr>
            <w:r>
              <w:rPr/>
              <w:t>   </w:t>
            </w:r>
            <w:r>
              <w:rPr>
                <w:rFonts w:ascii="Arial;Helvetica;Sans-Serif" w:hAnsi="Arial;Helvetica;Sans-Serif"/>
                <w:sz w:val="18"/>
              </w:rPr>
              <w:t>610.2</w:t>
            </w:r>
          </w:p>
        </w:tc>
        <w:tc>
          <w:tcPr>
            <w:tcW w:w="201" w:type="dxa"/>
            <w:tcBorders/>
            <w:vAlign w:val="center"/>
          </w:tcPr>
          <w:p>
            <w:pPr>
              <w:pStyle w:val="TableContents"/>
              <w:bidi w:val="0"/>
              <w:spacing w:before="0" w:after="283"/>
              <w:jc w:val="center"/>
              <w:rPr/>
            </w:pPr>
            <w:r>
              <w:rPr/>
              <w:t> </w:t>
            </w:r>
          </w:p>
        </w:tc>
        <w:tc>
          <w:tcPr>
            <w:tcW w:w="921" w:type="dxa"/>
            <w:tcBorders/>
            <w:vAlign w:val="center"/>
          </w:tcPr>
          <w:p>
            <w:pPr>
              <w:pStyle w:val="TableContents"/>
              <w:bidi w:val="0"/>
              <w:spacing w:before="0" w:after="283"/>
              <w:ind w:left="0" w:right="0" w:hanging="180"/>
              <w:jc w:val="right"/>
              <w:rPr/>
            </w:pPr>
            <w:r>
              <w:rPr/>
              <w:t>   </w:t>
            </w:r>
            <w:r>
              <w:rPr>
                <w:rFonts w:ascii="Arial;Helvetica;Sans-Serif" w:hAnsi="Arial;Helvetica;Sans-Serif"/>
                <w:sz w:val="18"/>
              </w:rPr>
              <w:t>486.2</w:t>
            </w:r>
          </w:p>
        </w:tc>
      </w:tr>
      <w:tr>
        <w:trPr/>
        <w:tc>
          <w:tcPr>
            <w:tcW w:w="6303"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Corporate</w:t>
            </w:r>
          </w:p>
        </w:tc>
        <w:tc>
          <w:tcPr>
            <w:tcW w:w="193" w:type="dxa"/>
            <w:tcBorders>
              <w:bottom w:val="single" w:sz="8" w:space="0" w:color="000000"/>
            </w:tcBorders>
            <w:tcMar>
              <w:bottom w:w="40" w:type="dxa"/>
            </w:tcMar>
            <w:vAlign w:val="center"/>
          </w:tcPr>
          <w:p>
            <w:pPr>
              <w:pStyle w:val="TableContents"/>
              <w:bidi w:val="0"/>
              <w:spacing w:before="0" w:after="283"/>
              <w:jc w:val="center"/>
              <w:rPr/>
            </w:pPr>
            <w:r>
              <w:rPr/>
              <w:t> </w:t>
            </w:r>
          </w:p>
        </w:tc>
        <w:tc>
          <w:tcPr>
            <w:tcW w:w="690" w:type="dxa"/>
            <w:tcBorders>
              <w:bottom w:val="single" w:sz="8" w:space="0" w:color="000000"/>
            </w:tcBorders>
            <w:tcMar>
              <w:bottom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(95.0)</w:t>
            </w:r>
          </w:p>
        </w:tc>
        <w:tc>
          <w:tcPr>
            <w:tcW w:w="193" w:type="dxa"/>
            <w:tcBorders>
              <w:bottom w:val="single" w:sz="8" w:space="0" w:color="000000"/>
            </w:tcBorders>
            <w:tcMar>
              <w:bottom w:w="40" w:type="dxa"/>
            </w:tcMar>
            <w:vAlign w:val="center"/>
          </w:tcPr>
          <w:p>
            <w:pPr>
              <w:pStyle w:val="TableContents"/>
              <w:bidi w:val="0"/>
              <w:spacing w:before="0" w:after="283"/>
              <w:jc w:val="center"/>
              <w:rPr/>
            </w:pPr>
            <w:r>
              <w:rPr/>
              <w:t> </w:t>
            </w:r>
          </w:p>
        </w:tc>
        <w:tc>
          <w:tcPr>
            <w:tcW w:w="690" w:type="dxa"/>
            <w:tcBorders>
              <w:bottom w:val="single" w:sz="8" w:space="0" w:color="000000"/>
            </w:tcBorders>
            <w:tcMar>
              <w:bottom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(81.2)</w:t>
            </w:r>
          </w:p>
        </w:tc>
        <w:tc>
          <w:tcPr>
            <w:tcW w:w="170" w:type="dxa"/>
            <w:tcBorders>
              <w:bottom w:val="single" w:sz="8" w:space="0" w:color="000000"/>
            </w:tcBorders>
            <w:tcMar>
              <w:bottom w:w="40" w:type="dxa"/>
            </w:tcMar>
            <w:vAlign w:val="center"/>
          </w:tcPr>
          <w:p>
            <w:pPr>
              <w:pStyle w:val="TableContents"/>
              <w:bidi w:val="0"/>
              <w:spacing w:before="0" w:after="283"/>
              <w:jc w:val="center"/>
              <w:rPr/>
            </w:pPr>
            <w:r>
              <w:rPr/>
              <w:t> </w:t>
            </w:r>
          </w:p>
        </w:tc>
        <w:tc>
          <w:tcPr>
            <w:tcW w:w="844" w:type="dxa"/>
            <w:tcBorders>
              <w:bottom w:val="single" w:sz="8" w:space="0" w:color="000000"/>
            </w:tcBorders>
            <w:tcMar>
              <w:bottom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(411.5)</w:t>
            </w:r>
          </w:p>
        </w:tc>
        <w:tc>
          <w:tcPr>
            <w:tcW w:w="201" w:type="dxa"/>
            <w:tcBorders>
              <w:bottom w:val="single" w:sz="8" w:space="0" w:color="000000"/>
            </w:tcBorders>
            <w:tcMar>
              <w:bottom w:w="40" w:type="dxa"/>
            </w:tcMar>
            <w:vAlign w:val="center"/>
          </w:tcPr>
          <w:p>
            <w:pPr>
              <w:pStyle w:val="TableContents"/>
              <w:bidi w:val="0"/>
              <w:spacing w:before="0" w:after="283"/>
              <w:jc w:val="center"/>
              <w:rPr/>
            </w:pPr>
            <w:r>
              <w:rPr/>
              <w:t> </w:t>
            </w:r>
          </w:p>
        </w:tc>
        <w:tc>
          <w:tcPr>
            <w:tcW w:w="921" w:type="dxa"/>
            <w:tcBorders>
              <w:bottom w:val="single" w:sz="8" w:space="0" w:color="000000"/>
            </w:tcBorders>
            <w:tcMar>
              <w:bottom w:w="40" w:type="dxa"/>
            </w:tcMar>
            <w:vAlign w:val="center"/>
          </w:tcPr>
          <w:p>
            <w:pPr>
              <w:pStyle w:val="TableContents"/>
              <w:bidi w:val="0"/>
              <w:spacing w:before="0" w:after="283"/>
              <w:ind w:left="0" w:right="0" w:hanging="180"/>
              <w:jc w:val="right"/>
              <w:rPr>
                <w:rFonts w:ascii="Arial;Helvetica;Sans-Serif" w:hAnsi="Arial;Helvetica;Sans-Serif"/>
                <w:sz w:val="18"/>
              </w:rPr>
            </w:pPr>
            <w:r>
              <w:rPr>
                <w:rFonts w:ascii="Arial;Helvetica;Sans-Serif" w:hAnsi="Arial;Helvetica;Sans-Serif"/>
                <w:sz w:val="18"/>
              </w:rPr>
              <w:t>(370.1)</w:t>
            </w:r>
          </w:p>
        </w:tc>
      </w:tr>
      <w:tr>
        <w:trPr/>
        <w:tc>
          <w:tcPr>
            <w:tcW w:w="6303" w:type="dxa"/>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Total Segment Pre-Tax Operating Earnings</w:t>
            </w:r>
          </w:p>
        </w:tc>
        <w:tc>
          <w:tcPr>
            <w:tcW w:w="193" w:type="dxa"/>
            <w:tcBorders/>
            <w:vAlign w:val="center"/>
          </w:tcPr>
          <w:p>
            <w:pPr>
              <w:pStyle w:val="TableContents"/>
              <w:bidi w:val="0"/>
              <w:spacing w:before="0" w:after="283"/>
              <w:jc w:val="center"/>
              <w:rPr/>
            </w:pPr>
            <w:r>
              <w:rPr/>
              <w:t> </w:t>
            </w:r>
            <w:r>
              <w:rPr>
                <w:b/>
                <w:sz w:val="18"/>
              </w:rPr>
              <w:t>$</w:t>
            </w:r>
          </w:p>
        </w:tc>
        <w:tc>
          <w:tcPr>
            <w:tcW w:w="690" w:type="dxa"/>
            <w:tcBorders/>
            <w:vAlign w:val="center"/>
          </w:tcPr>
          <w:p>
            <w:pPr>
              <w:pStyle w:val="TableContents"/>
              <w:bidi w:val="0"/>
              <w:spacing w:before="0" w:after="283"/>
              <w:jc w:val="right"/>
              <w:rPr/>
            </w:pPr>
            <w:r>
              <w:rPr/>
              <w:t> </w:t>
            </w:r>
            <w:r>
              <w:rPr>
                <w:rFonts w:ascii="Arial;Helvetica;Sans-Serif" w:hAnsi="Arial;Helvetica;Sans-Serif"/>
                <w:b/>
                <w:sz w:val="18"/>
              </w:rPr>
              <w:t>668.8</w:t>
            </w:r>
          </w:p>
        </w:tc>
        <w:tc>
          <w:tcPr>
            <w:tcW w:w="193" w:type="dxa"/>
            <w:tcBorders/>
            <w:vAlign w:val="center"/>
          </w:tcPr>
          <w:p>
            <w:pPr>
              <w:pStyle w:val="TableContents"/>
              <w:bidi w:val="0"/>
              <w:spacing w:before="0" w:after="283"/>
              <w:jc w:val="center"/>
              <w:rPr/>
            </w:pPr>
            <w:r>
              <w:rPr/>
              <w:t> </w:t>
            </w:r>
            <w:r>
              <w:rPr>
                <w:b/>
                <w:sz w:val="18"/>
              </w:rPr>
              <w:t>$</w:t>
            </w:r>
          </w:p>
        </w:tc>
        <w:tc>
          <w:tcPr>
            <w:tcW w:w="690" w:type="dxa"/>
            <w:tcBorders/>
            <w:vAlign w:val="center"/>
          </w:tcPr>
          <w:p>
            <w:pPr>
              <w:pStyle w:val="TableContents"/>
              <w:bidi w:val="0"/>
              <w:spacing w:before="0" w:after="283"/>
              <w:jc w:val="right"/>
              <w:rPr/>
            </w:pPr>
            <w:r>
              <w:rPr/>
              <w:t> </w:t>
            </w:r>
            <w:r>
              <w:rPr>
                <w:rFonts w:ascii="Arial;Helvetica;Sans-Serif" w:hAnsi="Arial;Helvetica;Sans-Serif"/>
                <w:b/>
                <w:sz w:val="18"/>
              </w:rPr>
              <w:t>594.9</w:t>
            </w:r>
          </w:p>
        </w:tc>
        <w:tc>
          <w:tcPr>
            <w:tcW w:w="170" w:type="dxa"/>
            <w:tcBorders/>
            <w:vAlign w:val="center"/>
          </w:tcPr>
          <w:p>
            <w:pPr>
              <w:pStyle w:val="TableContents"/>
              <w:bidi w:val="0"/>
              <w:spacing w:before="0" w:after="283"/>
              <w:jc w:val="center"/>
              <w:rPr/>
            </w:pPr>
            <w:r>
              <w:rPr/>
              <w:t> </w:t>
            </w:r>
            <w:r>
              <w:rPr>
                <w:b/>
                <w:sz w:val="18"/>
              </w:rPr>
              <w:t>$</w:t>
            </w:r>
          </w:p>
        </w:tc>
        <w:tc>
          <w:tcPr>
            <w:tcW w:w="844" w:type="dxa"/>
            <w:tcBorders/>
            <w:vAlign w:val="center"/>
          </w:tcPr>
          <w:p>
            <w:pPr>
              <w:pStyle w:val="TableContents"/>
              <w:bidi w:val="0"/>
              <w:spacing w:before="0" w:after="283"/>
              <w:jc w:val="right"/>
              <w:rPr/>
            </w:pPr>
            <w:r>
              <w:rPr/>
              <w:t> </w:t>
            </w:r>
            <w:r>
              <w:rPr>
                <w:rFonts w:ascii="Arial;Helvetica;Sans-Serif" w:hAnsi="Arial;Helvetica;Sans-Serif"/>
                <w:b/>
                <w:sz w:val="18"/>
              </w:rPr>
              <w:t>2,405.1</w:t>
            </w:r>
          </w:p>
        </w:tc>
        <w:tc>
          <w:tcPr>
            <w:tcW w:w="201" w:type="dxa"/>
            <w:tcBorders/>
            <w:vAlign w:val="center"/>
          </w:tcPr>
          <w:p>
            <w:pPr>
              <w:pStyle w:val="TableContents"/>
              <w:bidi w:val="0"/>
              <w:spacing w:before="0" w:after="283"/>
              <w:jc w:val="center"/>
              <w:rPr/>
            </w:pPr>
            <w:r>
              <w:rPr/>
              <w:t> </w:t>
            </w:r>
            <w:r>
              <w:rPr>
                <w:b/>
                <w:sz w:val="18"/>
              </w:rPr>
              <w:t>$</w:t>
            </w:r>
          </w:p>
        </w:tc>
        <w:tc>
          <w:tcPr>
            <w:tcW w:w="921" w:type="dxa"/>
            <w:tcBorders/>
            <w:vAlign w:val="center"/>
          </w:tcPr>
          <w:p>
            <w:pPr>
              <w:pStyle w:val="TableContents"/>
              <w:bidi w:val="0"/>
              <w:spacing w:before="0" w:after="283"/>
              <w:jc w:val="right"/>
              <w:rPr/>
            </w:pPr>
            <w:r>
              <w:rPr/>
              <w:t>  </w:t>
            </w:r>
            <w:r>
              <w:rPr>
                <w:rFonts w:ascii="Arial;Helvetica;Sans-Serif" w:hAnsi="Arial;Helvetica;Sans-Serif"/>
                <w:b/>
                <w:sz w:val="18"/>
              </w:rPr>
              <w:t>2,126.7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position w:val="5"/>
          <w:sz w:val="13"/>
          <w:sz w:val="16"/>
        </w:rPr>
        <w:t>11</w:t>
      </w:r>
      <w:r>
        <w:rPr>
          <w:rFonts w:ascii="Arial;Helvetica;Sans-Serif" w:hAnsi="Arial;Helvetica;Sans-Serif"/>
          <w:b w:val="false"/>
          <w:i w:val="false"/>
          <w:caps w:val="false"/>
          <w:smallCaps w:val="false"/>
          <w:sz w:val="16"/>
        </w:rPr>
        <w:t xml:space="preserve"> Principal, Principal and symbol design and Principal Financial Group are trademarks and service marks of Principal Financial Services, Inc., a member of the Principal Financial Group.</w:t>
      </w:r>
    </w:p>
    <w:p>
      <w:pPr>
        <w:pStyle w:val="TextBody"/>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position w:val="5"/>
          <w:sz w:val="13"/>
          <w:sz w:val="16"/>
        </w:rPr>
        <w:t>12</w:t>
      </w:r>
      <w:r>
        <w:rPr>
          <w:rFonts w:ascii="Arial;Helvetica;Sans-Serif" w:hAnsi="Arial;Helvetica;Sans-Serif"/>
          <w:b w:val="false"/>
          <w:i w:val="false"/>
          <w:caps w:val="false"/>
          <w:smallCaps w:val="false"/>
          <w:sz w:val="16"/>
        </w:rPr>
        <w:t xml:space="preserve"> As of June 30, 2026</w:t>
      </w:r>
    </w:p>
    <w:p>
      <w:pPr>
        <w:pStyle w:val="TextBody"/>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position w:val="5"/>
          <w:sz w:val="13"/>
          <w:sz w:val="16"/>
        </w:rPr>
        <w:t>13</w:t>
      </w:r>
      <w:r>
        <w:rPr>
          <w:rFonts w:ascii="Arial;Helvetica;Sans-Serif" w:hAnsi="Arial;Helvetica;Sans-Serif"/>
          <w:b w:val="false"/>
          <w:i w:val="false"/>
          <w:caps w:val="false"/>
          <w:smallCaps w:val="false"/>
          <w:sz w:val="16"/>
        </w:rPr>
        <w:t xml:space="preserve"> Ethisphere, 2026</w:t>
      </w:r>
    </w:p>
    <w:p>
      <w:pPr>
        <w:pStyle w:val="TextBody"/>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position w:val="5"/>
          <w:sz w:val="13"/>
          <w:sz w:val="16"/>
        </w:rPr>
        <w:t>14</w:t>
      </w:r>
      <w:r>
        <w:rPr>
          <w:rFonts w:ascii="Arial;Helvetica;Sans-Serif" w:hAnsi="Arial;Helvetica;Sans-Serif"/>
          <w:b w:val="false"/>
          <w:i w:val="false"/>
          <w:caps w:val="false"/>
          <w:smallCaps w:val="false"/>
          <w:sz w:val="16"/>
        </w:rPr>
        <w:t xml:space="preserve"> Pensions &amp; Investments,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028" w:type="dxa"/>
        <w:jc w:val="left"/>
        <w:tblInd w:w="0" w:type="dxa"/>
        <w:tblLayout w:type="fixed"/>
        <w:tblCellMar>
          <w:top w:w="0" w:type="dxa"/>
          <w:left w:w="0" w:type="dxa"/>
          <w:bottom w:w="0" w:type="dxa"/>
          <w:right w:w="0" w:type="dxa"/>
        </w:tblCellMar>
      </w:tblPr>
      <w:tblGrid>
        <w:gridCol w:w="5690"/>
        <w:gridCol w:w="166"/>
        <w:gridCol w:w="649"/>
        <w:gridCol w:w="166"/>
        <w:gridCol w:w="792"/>
        <w:gridCol w:w="140"/>
        <w:gridCol w:w="725"/>
        <w:gridCol w:w="140"/>
        <w:gridCol w:w="560"/>
      </w:tblGrid>
      <w:tr>
        <w:trPr/>
        <w:tc>
          <w:tcPr>
            <w:tcW w:w="5690" w:type="dxa"/>
            <w:vMerge w:val="restart"/>
            <w:tcBorders/>
            <w:shd w:fill="004C97" w:val="clear"/>
            <w:vAlign w:val="center"/>
          </w:tcPr>
          <w:p>
            <w:pPr>
              <w:pStyle w:val="TableContents"/>
              <w:bidi w:val="0"/>
              <w:spacing w:before="0" w:after="0"/>
              <w:ind w:left="720" w:right="0" w:hanging="360"/>
              <w:jc w:val="both"/>
              <w:rPr>
                <w:caps w:val="false"/>
                <w:smallCaps w:val="false"/>
                <w:color w:val="FFFFFF"/>
              </w:rPr>
            </w:pPr>
            <w:r>
              <w:rPr>
                <w:caps w:val="false"/>
                <w:smallCaps w:val="false"/>
                <w:color w:val="FFFFFF"/>
              </w:rPr>
              <w:t> </w:t>
            </w:r>
          </w:p>
          <w:p>
            <w:pPr>
              <w:pStyle w:val="TableContents"/>
              <w:bidi w:val="0"/>
              <w:spacing w:before="0" w:after="0"/>
              <w:ind w:left="720" w:right="0" w:hanging="360"/>
              <w:jc w:val="both"/>
              <w:rPr>
                <w:caps w:val="false"/>
                <w:smallCaps w:val="false"/>
                <w:color w:val="FFFFFF"/>
              </w:rPr>
            </w:pPr>
            <w:r>
              <w:rPr>
                <w:caps w:val="false"/>
                <w:smallCaps w:val="false"/>
                <w:color w:val="FFFFFF"/>
              </w:rPr>
              <w:t> </w:t>
            </w:r>
          </w:p>
          <w:p>
            <w:pPr>
              <w:pStyle w:val="TableContents"/>
              <w:bidi w:val="0"/>
              <w:spacing w:before="0" w:after="0"/>
              <w:ind w:left="720" w:right="0" w:hanging="360"/>
              <w:jc w:val="right"/>
              <w:rPr>
                <w:caps w:val="false"/>
                <w:smallCaps w:val="false"/>
                <w:color w:val="FFFFFF"/>
              </w:rPr>
            </w:pPr>
            <w:r>
              <w:rPr>
                <w:caps w:val="false"/>
                <w:smallCaps w:val="false"/>
                <w:color w:val="FFFFFF"/>
              </w:rPr>
              <w:t> </w:t>
            </w:r>
          </w:p>
        </w:tc>
        <w:tc>
          <w:tcPr>
            <w:tcW w:w="3338" w:type="dxa"/>
            <w:gridSpan w:val="8"/>
            <w:tcBorders/>
            <w:shd w:fill="004C97" w:val="clear"/>
            <w:vAlign w:val="center"/>
          </w:tcPr>
          <w:p>
            <w:pPr>
              <w:pStyle w:val="TableContents"/>
              <w:bidi w:val="0"/>
              <w:spacing w:before="0" w:after="283"/>
              <w:jc w:val="center"/>
              <w:rPr>
                <w:rFonts w:ascii="Arial;Helvetica;Sans-Serif" w:hAnsi="Arial;Helvetica;Sans-Serif"/>
                <w:b/>
                <w:color w:val="FFFFFF"/>
                <w:sz w:val="18"/>
              </w:rPr>
            </w:pPr>
            <w:r>
              <w:rPr>
                <w:rFonts w:ascii="Arial;Helvetica;Sans-Serif" w:hAnsi="Arial;Helvetica;Sans-Serif"/>
                <w:b/>
                <w:color w:val="FFFFFF"/>
                <w:sz w:val="18"/>
              </w:rPr>
              <w:t>Per Diluted Share</w:t>
            </w:r>
          </w:p>
        </w:tc>
      </w:tr>
      <w:tr>
        <w:trPr/>
        <w:tc>
          <w:tcPr>
            <w:tcW w:w="5690" w:type="dxa"/>
            <w:vMerge w:val="continue"/>
            <w:tcBorders/>
            <w:shd w:fill="004C97" w:val="clear"/>
            <w:vAlign w:val="center"/>
          </w:tcPr>
          <w:p>
            <w:pPr>
              <w:pStyle w:val="Normal"/>
              <w:bidi w:val="0"/>
              <w:jc w:val="left"/>
              <w:rPr/>
            </w:pPr>
            <w:r>
              <w:rPr/>
            </w:r>
          </w:p>
        </w:tc>
        <w:tc>
          <w:tcPr>
            <w:tcW w:w="1773" w:type="dxa"/>
            <w:gridSpan w:val="4"/>
            <w:tcBorders/>
            <w:shd w:fill="004C97" w:val="cle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Three Months Ended,</w:t>
            </w:r>
          </w:p>
        </w:tc>
        <w:tc>
          <w:tcPr>
            <w:tcW w:w="1565" w:type="dxa"/>
            <w:gridSpan w:val="4"/>
            <w:tcBorders/>
            <w:shd w:fill="004C97" w:val="cle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Six Months Ended,</w:t>
            </w:r>
          </w:p>
        </w:tc>
      </w:tr>
      <w:tr>
        <w:trPr/>
        <w:tc>
          <w:tcPr>
            <w:tcW w:w="5690" w:type="dxa"/>
            <w:vMerge w:val="continue"/>
            <w:tcBorders/>
            <w:shd w:fill="004C97" w:val="clear"/>
            <w:vAlign w:val="center"/>
          </w:tcPr>
          <w:p>
            <w:pPr>
              <w:pStyle w:val="Normal"/>
              <w:bidi w:val="0"/>
              <w:jc w:val="left"/>
              <w:rPr/>
            </w:pPr>
            <w:r>
              <w:rPr/>
            </w:r>
          </w:p>
        </w:tc>
        <w:tc>
          <w:tcPr>
            <w:tcW w:w="815" w:type="dxa"/>
            <w:gridSpan w:val="2"/>
            <w:tcBorders/>
            <w:shd w:fill="004C97" w:val="cle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2Q26</w:t>
            </w:r>
          </w:p>
        </w:tc>
        <w:tc>
          <w:tcPr>
            <w:tcW w:w="958" w:type="dxa"/>
            <w:gridSpan w:val="2"/>
            <w:tcBorders/>
            <w:shd w:fill="004C97" w:val="cle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2Q245</w:t>
            </w:r>
          </w:p>
        </w:tc>
        <w:tc>
          <w:tcPr>
            <w:tcW w:w="865" w:type="dxa"/>
            <w:gridSpan w:val="2"/>
            <w:tcBorders/>
            <w:shd w:fill="004C97" w:val="cle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2Q26</w:t>
            </w:r>
          </w:p>
        </w:tc>
        <w:tc>
          <w:tcPr>
            <w:tcW w:w="700" w:type="dxa"/>
            <w:gridSpan w:val="2"/>
            <w:tcBorders/>
            <w:shd w:fill="004C97" w:val="clear"/>
            <w:vAlign w:val="center"/>
          </w:tcPr>
          <w:p>
            <w:pPr>
              <w:pStyle w:val="TableContents"/>
              <w:bidi w:val="0"/>
              <w:spacing w:before="0" w:after="283"/>
              <w:ind w:left="0" w:right="0" w:hanging="180"/>
              <w:jc w:val="center"/>
              <w:rPr>
                <w:rFonts w:ascii="Arial;Helvetica;Sans-Serif" w:hAnsi="Arial;Helvetica;Sans-Serif"/>
                <w:color w:val="FFFFFF"/>
                <w:sz w:val="18"/>
              </w:rPr>
            </w:pPr>
            <w:r>
              <w:rPr>
                <w:rFonts w:ascii="Arial;Helvetica;Sans-Serif" w:hAnsi="Arial;Helvetica;Sans-Serif"/>
                <w:color w:val="FFFFFF"/>
                <w:sz w:val="18"/>
              </w:rPr>
              <w:t>2Q25</w:t>
            </w:r>
          </w:p>
        </w:tc>
      </w:tr>
      <w:tr>
        <w:trPr/>
        <w:tc>
          <w:tcPr>
            <w:tcW w:w="5690" w:type="dxa"/>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Net income (loss) attributable to PFG</w:t>
            </w:r>
          </w:p>
        </w:tc>
        <w:tc>
          <w:tcPr>
            <w:tcW w:w="166" w:type="dxa"/>
            <w:tcBorders/>
            <w:vAlign w:val="center"/>
          </w:tcPr>
          <w:p>
            <w:pPr>
              <w:pStyle w:val="TableContents"/>
              <w:bidi w:val="0"/>
              <w:spacing w:before="0" w:after="283"/>
              <w:jc w:val="center"/>
              <w:rPr>
                <w:b/>
              </w:rPr>
            </w:pPr>
            <w:r>
              <w:rPr>
                <w:b/>
              </w:rPr>
              <w:t>$</w:t>
            </w:r>
          </w:p>
        </w:tc>
        <w:tc>
          <w:tcPr>
            <w:tcW w:w="649" w:type="dxa"/>
            <w:tcBorders/>
            <w:vAlign w:val="center"/>
          </w:tcPr>
          <w:p>
            <w:pPr>
              <w:pStyle w:val="TableContents"/>
              <w:bidi w:val="0"/>
              <w:spacing w:before="0" w:after="283"/>
              <w:jc w:val="right"/>
              <w:rPr/>
            </w:pPr>
            <w:r>
              <w:rPr/>
              <w:t>  </w:t>
            </w:r>
            <w:r>
              <w:rPr>
                <w:rFonts w:ascii="Arial;Helvetica;Sans-Serif" w:hAnsi="Arial;Helvetica;Sans-Serif"/>
                <w:b/>
                <w:sz w:val="18"/>
              </w:rPr>
              <w:t xml:space="preserve">1.84 </w:t>
            </w:r>
          </w:p>
        </w:tc>
        <w:tc>
          <w:tcPr>
            <w:tcW w:w="166" w:type="dxa"/>
            <w:tcBorders/>
            <w:vAlign w:val="center"/>
          </w:tcPr>
          <w:p>
            <w:pPr>
              <w:pStyle w:val="TableContents"/>
              <w:bidi w:val="0"/>
              <w:spacing w:before="0" w:after="283"/>
              <w:jc w:val="center"/>
              <w:rPr>
                <w:b/>
              </w:rPr>
            </w:pPr>
            <w:r>
              <w:rPr>
                <w:b/>
              </w:rPr>
              <w:t>$</w:t>
            </w:r>
          </w:p>
        </w:tc>
        <w:tc>
          <w:tcPr>
            <w:tcW w:w="792" w:type="dxa"/>
            <w:tcBorders/>
            <w:vAlign w:val="center"/>
          </w:tcPr>
          <w:p>
            <w:pPr>
              <w:pStyle w:val="TableContents"/>
              <w:bidi w:val="0"/>
              <w:spacing w:before="0" w:after="283"/>
              <w:jc w:val="right"/>
              <w:rPr/>
            </w:pPr>
            <w:r>
              <w:rPr/>
              <w:t>    </w:t>
            </w:r>
            <w:r>
              <w:rPr>
                <w:rFonts w:ascii="Arial;Helvetica;Sans-Serif" w:hAnsi="Arial;Helvetica;Sans-Serif"/>
                <w:b/>
                <w:sz w:val="18"/>
              </w:rPr>
              <w:t xml:space="preserve">1.79 </w:t>
            </w:r>
          </w:p>
        </w:tc>
        <w:tc>
          <w:tcPr>
            <w:tcW w:w="140" w:type="dxa"/>
            <w:tcBorders/>
            <w:vAlign w:val="center"/>
          </w:tcPr>
          <w:p>
            <w:pPr>
              <w:pStyle w:val="TableContents"/>
              <w:bidi w:val="0"/>
              <w:spacing w:before="0" w:after="283"/>
              <w:jc w:val="center"/>
              <w:rPr>
                <w:b/>
              </w:rPr>
            </w:pPr>
            <w:r>
              <w:rPr>
                <w:b/>
              </w:rPr>
              <w:t>$</w:t>
            </w:r>
          </w:p>
        </w:tc>
        <w:tc>
          <w:tcPr>
            <w:tcW w:w="725" w:type="dxa"/>
            <w:tcBorders/>
            <w:vAlign w:val="center"/>
          </w:tcPr>
          <w:p>
            <w:pPr>
              <w:pStyle w:val="TableContents"/>
              <w:bidi w:val="0"/>
              <w:spacing w:before="0" w:after="283"/>
              <w:jc w:val="right"/>
              <w:rPr/>
            </w:pPr>
            <w:r>
              <w:rPr/>
              <w:t>     </w:t>
            </w:r>
            <w:r>
              <w:rPr>
                <w:rFonts w:ascii="Arial;Helvetica;Sans-Serif" w:hAnsi="Arial;Helvetica;Sans-Serif"/>
                <w:b/>
                <w:sz w:val="18"/>
              </w:rPr>
              <w:t xml:space="preserve">3.77 </w:t>
            </w:r>
          </w:p>
        </w:tc>
        <w:tc>
          <w:tcPr>
            <w:tcW w:w="140" w:type="dxa"/>
            <w:tcBorders/>
            <w:vAlign w:val="center"/>
          </w:tcPr>
          <w:p>
            <w:pPr>
              <w:pStyle w:val="TableContents"/>
              <w:bidi w:val="0"/>
              <w:spacing w:before="0" w:after="283"/>
              <w:jc w:val="center"/>
              <w:rPr>
                <w:b/>
              </w:rPr>
            </w:pPr>
            <w:r>
              <w:rPr>
                <w:b/>
              </w:rPr>
              <w:t>$</w:t>
            </w:r>
          </w:p>
        </w:tc>
        <w:tc>
          <w:tcPr>
            <w:tcW w:w="560" w:type="dxa"/>
            <w:tcBorders/>
            <w:vAlign w:val="center"/>
          </w:tcPr>
          <w:p>
            <w:pPr>
              <w:pStyle w:val="TableContents"/>
              <w:bidi w:val="0"/>
              <w:spacing w:before="0" w:after="283"/>
              <w:ind w:left="0" w:right="0" w:hanging="180"/>
              <w:jc w:val="right"/>
              <w:rPr/>
            </w:pPr>
            <w:r>
              <w:rPr/>
              <w:t>  </w:t>
            </w:r>
            <w:r>
              <w:rPr>
                <w:rFonts w:ascii="Arial;Helvetica;Sans-Serif" w:hAnsi="Arial;Helvetica;Sans-Serif"/>
                <w:b/>
                <w:sz w:val="18"/>
              </w:rPr>
              <w:t xml:space="preserve">2.00 </w:t>
            </w:r>
          </w:p>
        </w:tc>
      </w:tr>
      <w:tr>
        <w:trPr/>
        <w:tc>
          <w:tcPr>
            <w:tcW w:w="569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(Income) loss from exited business</w:t>
            </w:r>
          </w:p>
        </w:tc>
        <w:tc>
          <w:tcPr>
            <w:tcW w:w="166" w:type="dxa"/>
            <w:tcBorders>
              <w:bottom w:val="single" w:sz="8" w:space="0" w:color="000000"/>
            </w:tcBorders>
            <w:tcMar>
              <w:bottom w:w="28" w:type="dxa"/>
            </w:tcMar>
            <w:vAlign w:val="center"/>
          </w:tcPr>
          <w:p>
            <w:pPr>
              <w:pStyle w:val="TableContents"/>
              <w:bidi w:val="0"/>
              <w:spacing w:before="0" w:after="283"/>
              <w:jc w:val="center"/>
              <w:rPr/>
            </w:pPr>
            <w:r>
              <w:rPr/>
              <w:t> </w:t>
            </w:r>
          </w:p>
        </w:tc>
        <w:tc>
          <w:tcPr>
            <w:tcW w:w="649" w:type="dxa"/>
            <w:tcBorders>
              <w:bottom w:val="single" w:sz="8" w:space="0" w:color="000000"/>
            </w:tcBorders>
            <w:tcMar>
              <w:bottom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0.60</w:t>
            </w:r>
          </w:p>
        </w:tc>
        <w:tc>
          <w:tcPr>
            <w:tcW w:w="166" w:type="dxa"/>
            <w:tcBorders>
              <w:bottom w:val="single" w:sz="8" w:space="0" w:color="000000"/>
            </w:tcBorders>
            <w:tcMar>
              <w:bottom w:w="28" w:type="dxa"/>
            </w:tcMar>
            <w:vAlign w:val="center"/>
          </w:tcPr>
          <w:p>
            <w:pPr>
              <w:pStyle w:val="TableContents"/>
              <w:bidi w:val="0"/>
              <w:spacing w:before="0" w:after="283"/>
              <w:jc w:val="center"/>
              <w:rPr/>
            </w:pPr>
            <w:r>
              <w:rPr/>
              <w:t> </w:t>
            </w:r>
          </w:p>
        </w:tc>
        <w:tc>
          <w:tcPr>
            <w:tcW w:w="792" w:type="dxa"/>
            <w:tcBorders>
              <w:bottom w:val="single" w:sz="8" w:space="0" w:color="000000"/>
            </w:tcBorders>
            <w:tcMar>
              <w:bottom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0.12</w:t>
            </w:r>
          </w:p>
        </w:tc>
        <w:tc>
          <w:tcPr>
            <w:tcW w:w="140" w:type="dxa"/>
            <w:tcBorders>
              <w:bottom w:val="single" w:sz="8" w:space="0" w:color="000000"/>
            </w:tcBorders>
            <w:tcMar>
              <w:bottom w:w="28" w:type="dxa"/>
            </w:tcMar>
            <w:vAlign w:val="center"/>
          </w:tcPr>
          <w:p>
            <w:pPr>
              <w:pStyle w:val="TableContents"/>
              <w:bidi w:val="0"/>
              <w:spacing w:before="0" w:after="283"/>
              <w:jc w:val="center"/>
              <w:rPr/>
            </w:pPr>
            <w:r>
              <w:rPr/>
              <w:t> </w:t>
            </w:r>
          </w:p>
        </w:tc>
        <w:tc>
          <w:tcPr>
            <w:tcW w:w="725" w:type="dxa"/>
            <w:tcBorders>
              <w:bottom w:val="single" w:sz="8" w:space="0" w:color="000000"/>
            </w:tcBorders>
            <w:tcMar>
              <w:bottom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0.13</w:t>
            </w:r>
          </w:p>
        </w:tc>
        <w:tc>
          <w:tcPr>
            <w:tcW w:w="140" w:type="dxa"/>
            <w:tcBorders>
              <w:bottom w:val="single" w:sz="8" w:space="0" w:color="000000"/>
            </w:tcBorders>
            <w:tcMar>
              <w:bottom w:w="28" w:type="dxa"/>
            </w:tcMar>
            <w:vAlign w:val="center"/>
          </w:tcPr>
          <w:p>
            <w:pPr>
              <w:pStyle w:val="TableContents"/>
              <w:bidi w:val="0"/>
              <w:spacing w:before="0" w:after="283"/>
              <w:jc w:val="center"/>
              <w:rPr/>
            </w:pPr>
            <w:r>
              <w:rPr/>
              <w:t> </w:t>
            </w:r>
          </w:p>
        </w:tc>
        <w:tc>
          <w:tcPr>
            <w:tcW w:w="560" w:type="dxa"/>
            <w:tcBorders>
              <w:bottom w:val="single" w:sz="8" w:space="0" w:color="000000"/>
            </w:tcBorders>
            <w:tcMar>
              <w:bottom w:w="40" w:type="dxa"/>
            </w:tcMar>
            <w:vAlign w:val="center"/>
          </w:tcPr>
          <w:p>
            <w:pPr>
              <w:pStyle w:val="TableContents"/>
              <w:bidi w:val="0"/>
              <w:spacing w:before="0" w:after="283"/>
              <w:ind w:left="0" w:right="0" w:hanging="180"/>
              <w:jc w:val="right"/>
              <w:rPr>
                <w:rFonts w:ascii="Arial;Helvetica;Sans-Serif" w:hAnsi="Arial;Helvetica;Sans-Serif"/>
                <w:sz w:val="18"/>
              </w:rPr>
            </w:pPr>
            <w:r>
              <w:rPr>
                <w:rFonts w:ascii="Arial;Helvetica;Sans-Serif" w:hAnsi="Arial;Helvetica;Sans-Serif"/>
                <w:sz w:val="18"/>
              </w:rPr>
              <w:t>1.21</w:t>
            </w:r>
          </w:p>
        </w:tc>
      </w:tr>
      <w:tr>
        <w:trPr/>
        <w:tc>
          <w:tcPr>
            <w:tcW w:w="5690" w:type="dxa"/>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Non-GAAP net income (loss) excluding exited business</w:t>
            </w:r>
          </w:p>
        </w:tc>
        <w:tc>
          <w:tcPr>
            <w:tcW w:w="166" w:type="dxa"/>
            <w:tcBorders/>
            <w:vAlign w:val="center"/>
          </w:tcPr>
          <w:p>
            <w:pPr>
              <w:pStyle w:val="TableContents"/>
              <w:bidi w:val="0"/>
              <w:spacing w:before="0" w:after="283"/>
              <w:jc w:val="center"/>
              <w:rPr>
                <w:b/>
              </w:rPr>
            </w:pPr>
            <w:r>
              <w:rPr>
                <w:b/>
              </w:rPr>
              <w:t>$</w:t>
            </w:r>
          </w:p>
        </w:tc>
        <w:tc>
          <w:tcPr>
            <w:tcW w:w="649" w:type="dxa"/>
            <w:tcBorders/>
            <w:vAlign w:val="center"/>
          </w:tcPr>
          <w:p>
            <w:pPr>
              <w:pStyle w:val="TableContents"/>
              <w:bidi w:val="0"/>
              <w:spacing w:before="0" w:after="283"/>
              <w:jc w:val="right"/>
              <w:rPr/>
            </w:pPr>
            <w:r>
              <w:rPr/>
              <w:t>  </w:t>
            </w:r>
            <w:r>
              <w:rPr>
                <w:rFonts w:ascii="Arial;Helvetica;Sans-Serif" w:hAnsi="Arial;Helvetica;Sans-Serif"/>
                <w:b/>
                <w:sz w:val="18"/>
              </w:rPr>
              <w:t xml:space="preserve">2.44 </w:t>
            </w:r>
          </w:p>
        </w:tc>
        <w:tc>
          <w:tcPr>
            <w:tcW w:w="166" w:type="dxa"/>
            <w:tcBorders/>
            <w:vAlign w:val="center"/>
          </w:tcPr>
          <w:p>
            <w:pPr>
              <w:pStyle w:val="TableContents"/>
              <w:bidi w:val="0"/>
              <w:spacing w:before="0" w:after="283"/>
              <w:jc w:val="center"/>
              <w:rPr>
                <w:b/>
              </w:rPr>
            </w:pPr>
            <w:r>
              <w:rPr>
                <w:b/>
              </w:rPr>
              <w:t>$</w:t>
            </w:r>
          </w:p>
        </w:tc>
        <w:tc>
          <w:tcPr>
            <w:tcW w:w="792" w:type="dxa"/>
            <w:tcBorders/>
            <w:vAlign w:val="center"/>
          </w:tcPr>
          <w:p>
            <w:pPr>
              <w:pStyle w:val="TableContents"/>
              <w:bidi w:val="0"/>
              <w:spacing w:before="0" w:after="283"/>
              <w:jc w:val="right"/>
              <w:rPr/>
            </w:pPr>
            <w:r>
              <w:rPr/>
              <w:t>    </w:t>
            </w:r>
            <w:r>
              <w:rPr>
                <w:rFonts w:ascii="Arial;Helvetica;Sans-Serif" w:hAnsi="Arial;Helvetica;Sans-Serif"/>
                <w:b/>
                <w:sz w:val="18"/>
              </w:rPr>
              <w:t xml:space="preserve">1.91 </w:t>
            </w:r>
          </w:p>
        </w:tc>
        <w:tc>
          <w:tcPr>
            <w:tcW w:w="140" w:type="dxa"/>
            <w:tcBorders/>
            <w:vAlign w:val="center"/>
          </w:tcPr>
          <w:p>
            <w:pPr>
              <w:pStyle w:val="TableContents"/>
              <w:bidi w:val="0"/>
              <w:spacing w:before="0" w:after="283"/>
              <w:jc w:val="center"/>
              <w:rPr>
                <w:b/>
              </w:rPr>
            </w:pPr>
            <w:r>
              <w:rPr>
                <w:b/>
              </w:rPr>
              <w:t>$</w:t>
            </w:r>
          </w:p>
        </w:tc>
        <w:tc>
          <w:tcPr>
            <w:tcW w:w="725" w:type="dxa"/>
            <w:tcBorders/>
            <w:vAlign w:val="center"/>
          </w:tcPr>
          <w:p>
            <w:pPr>
              <w:pStyle w:val="TableContents"/>
              <w:bidi w:val="0"/>
              <w:spacing w:before="0" w:after="283"/>
              <w:jc w:val="right"/>
              <w:rPr/>
            </w:pPr>
            <w:r>
              <w:rPr/>
              <w:t>     </w:t>
            </w:r>
            <w:r>
              <w:rPr>
                <w:rFonts w:ascii="Arial;Helvetica;Sans-Serif" w:hAnsi="Arial;Helvetica;Sans-Serif"/>
                <w:b/>
                <w:sz w:val="18"/>
              </w:rPr>
              <w:t xml:space="preserve">3.90 </w:t>
            </w:r>
          </w:p>
        </w:tc>
        <w:tc>
          <w:tcPr>
            <w:tcW w:w="140" w:type="dxa"/>
            <w:tcBorders/>
            <w:vAlign w:val="center"/>
          </w:tcPr>
          <w:p>
            <w:pPr>
              <w:pStyle w:val="TableContents"/>
              <w:bidi w:val="0"/>
              <w:spacing w:before="0" w:after="283"/>
              <w:jc w:val="center"/>
              <w:rPr>
                <w:b/>
              </w:rPr>
            </w:pPr>
            <w:r>
              <w:rPr>
                <w:b/>
              </w:rPr>
              <w:t>$</w:t>
            </w:r>
          </w:p>
        </w:tc>
        <w:tc>
          <w:tcPr>
            <w:tcW w:w="560" w:type="dxa"/>
            <w:tcBorders/>
            <w:vAlign w:val="center"/>
          </w:tcPr>
          <w:p>
            <w:pPr>
              <w:pStyle w:val="TableContents"/>
              <w:bidi w:val="0"/>
              <w:spacing w:before="0" w:after="283"/>
              <w:ind w:left="0" w:right="0" w:hanging="180"/>
              <w:jc w:val="right"/>
              <w:rPr/>
            </w:pPr>
            <w:r>
              <w:rPr/>
              <w:t>  </w:t>
            </w:r>
            <w:r>
              <w:rPr>
                <w:rFonts w:ascii="Arial;Helvetica;Sans-Serif" w:hAnsi="Arial;Helvetica;Sans-Serif"/>
                <w:b/>
                <w:sz w:val="18"/>
              </w:rPr>
              <w:t xml:space="preserve">3.21 </w:t>
            </w:r>
          </w:p>
        </w:tc>
      </w:tr>
      <w:tr>
        <w:trPr/>
        <w:tc>
          <w:tcPr>
            <w:tcW w:w="569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Net realized capital (gains) losses, as adjusted</w:t>
            </w:r>
          </w:p>
        </w:tc>
        <w:tc>
          <w:tcPr>
            <w:tcW w:w="166" w:type="dxa"/>
            <w:tcBorders>
              <w:bottom w:val="single" w:sz="8" w:space="0" w:color="000000"/>
            </w:tcBorders>
            <w:tcMar>
              <w:bottom w:w="28" w:type="dxa"/>
            </w:tcMar>
            <w:vAlign w:val="center"/>
          </w:tcPr>
          <w:p>
            <w:pPr>
              <w:pStyle w:val="TableContents"/>
              <w:bidi w:val="0"/>
              <w:spacing w:before="0" w:after="283"/>
              <w:jc w:val="center"/>
              <w:rPr/>
            </w:pPr>
            <w:r>
              <w:rPr/>
              <w:t> </w:t>
            </w:r>
          </w:p>
        </w:tc>
        <w:tc>
          <w:tcPr>
            <w:tcW w:w="649" w:type="dxa"/>
            <w:tcBorders>
              <w:bottom w:val="single" w:sz="8" w:space="0" w:color="000000"/>
            </w:tcBorders>
            <w:tcMar>
              <w:bottom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0.06</w:t>
            </w:r>
          </w:p>
        </w:tc>
        <w:tc>
          <w:tcPr>
            <w:tcW w:w="166" w:type="dxa"/>
            <w:tcBorders>
              <w:bottom w:val="single" w:sz="8" w:space="0" w:color="000000"/>
            </w:tcBorders>
            <w:tcMar>
              <w:bottom w:w="28" w:type="dxa"/>
            </w:tcMar>
            <w:vAlign w:val="center"/>
          </w:tcPr>
          <w:p>
            <w:pPr>
              <w:pStyle w:val="TableContents"/>
              <w:bidi w:val="0"/>
              <w:spacing w:before="0" w:after="283"/>
              <w:jc w:val="center"/>
              <w:rPr/>
            </w:pPr>
            <w:r>
              <w:rPr/>
              <w:t> </w:t>
            </w:r>
          </w:p>
        </w:tc>
        <w:tc>
          <w:tcPr>
            <w:tcW w:w="792" w:type="dxa"/>
            <w:tcBorders>
              <w:bottom w:val="single" w:sz="8" w:space="0" w:color="000000"/>
            </w:tcBorders>
            <w:tcMar>
              <w:bottom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0.25</w:t>
            </w:r>
          </w:p>
        </w:tc>
        <w:tc>
          <w:tcPr>
            <w:tcW w:w="140" w:type="dxa"/>
            <w:tcBorders>
              <w:bottom w:val="single" w:sz="8" w:space="0" w:color="000000"/>
            </w:tcBorders>
            <w:tcMar>
              <w:bottom w:w="28" w:type="dxa"/>
            </w:tcMar>
            <w:vAlign w:val="center"/>
          </w:tcPr>
          <w:p>
            <w:pPr>
              <w:pStyle w:val="TableContents"/>
              <w:bidi w:val="0"/>
              <w:spacing w:before="0" w:after="283"/>
              <w:jc w:val="center"/>
              <w:rPr/>
            </w:pPr>
            <w:r>
              <w:rPr/>
              <w:t> </w:t>
            </w:r>
          </w:p>
        </w:tc>
        <w:tc>
          <w:tcPr>
            <w:tcW w:w="725" w:type="dxa"/>
            <w:tcBorders>
              <w:bottom w:val="single" w:sz="8" w:space="0" w:color="000000"/>
            </w:tcBorders>
            <w:tcMar>
              <w:bottom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0.67</w:t>
            </w:r>
          </w:p>
        </w:tc>
        <w:tc>
          <w:tcPr>
            <w:tcW w:w="140" w:type="dxa"/>
            <w:tcBorders>
              <w:bottom w:val="single" w:sz="8" w:space="0" w:color="000000"/>
            </w:tcBorders>
            <w:tcMar>
              <w:bottom w:w="28" w:type="dxa"/>
            </w:tcMar>
            <w:vAlign w:val="center"/>
          </w:tcPr>
          <w:p>
            <w:pPr>
              <w:pStyle w:val="TableContents"/>
              <w:bidi w:val="0"/>
              <w:spacing w:before="0" w:after="283"/>
              <w:jc w:val="center"/>
              <w:rPr/>
            </w:pPr>
            <w:r>
              <w:rPr/>
              <w:t> </w:t>
            </w:r>
          </w:p>
        </w:tc>
        <w:tc>
          <w:tcPr>
            <w:tcW w:w="560" w:type="dxa"/>
            <w:tcBorders>
              <w:bottom w:val="single" w:sz="8" w:space="0" w:color="000000"/>
            </w:tcBorders>
            <w:tcMar>
              <w:bottom w:w="40" w:type="dxa"/>
            </w:tcMar>
            <w:vAlign w:val="center"/>
          </w:tcPr>
          <w:p>
            <w:pPr>
              <w:pStyle w:val="TableContents"/>
              <w:bidi w:val="0"/>
              <w:spacing w:before="0" w:after="283"/>
              <w:ind w:left="0" w:right="0" w:hanging="180"/>
              <w:jc w:val="right"/>
              <w:rPr>
                <w:rFonts w:ascii="Arial;Helvetica;Sans-Serif" w:hAnsi="Arial;Helvetica;Sans-Serif"/>
                <w:sz w:val="18"/>
              </w:rPr>
            </w:pPr>
            <w:r>
              <w:rPr>
                <w:rFonts w:ascii="Arial;Helvetica;Sans-Serif" w:hAnsi="Arial;Helvetica;Sans-Serif"/>
                <w:sz w:val="18"/>
              </w:rPr>
              <w:t>0.76</w:t>
            </w:r>
          </w:p>
        </w:tc>
      </w:tr>
      <w:tr>
        <w:trPr/>
        <w:tc>
          <w:tcPr>
            <w:tcW w:w="569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 xml:space="preserve">Non-GAAP Operating Earnings </w:t>
            </w:r>
          </w:p>
        </w:tc>
        <w:tc>
          <w:tcPr>
            <w:tcW w:w="166" w:type="dxa"/>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49" w:type="dxa"/>
            <w:tcBorders>
              <w:bottom w:val="single" w:sz="8" w:space="0" w:color="000000"/>
            </w:tcBorders>
            <w:tcMar>
              <w:bottom w:w="40" w:type="dxa"/>
            </w:tcMar>
            <w:vAlign w:val="center"/>
          </w:tcPr>
          <w:p>
            <w:pPr>
              <w:pStyle w:val="TableContents"/>
              <w:bidi w:val="0"/>
              <w:spacing w:before="0" w:after="283"/>
              <w:jc w:val="right"/>
              <w:rPr/>
            </w:pPr>
            <w:r>
              <w:rPr/>
              <w:t>  </w:t>
            </w:r>
            <w:r>
              <w:rPr>
                <w:rFonts w:ascii="Arial;Helvetica;Sans-Serif" w:hAnsi="Arial;Helvetica;Sans-Serif"/>
                <w:b/>
                <w:sz w:val="18"/>
              </w:rPr>
              <w:t xml:space="preserve">2.50 </w:t>
            </w:r>
          </w:p>
        </w:tc>
        <w:tc>
          <w:tcPr>
            <w:tcW w:w="166" w:type="dxa"/>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92" w:type="dxa"/>
            <w:tcBorders>
              <w:bottom w:val="single" w:sz="8" w:space="0" w:color="000000"/>
            </w:tcBorders>
            <w:tcMar>
              <w:bottom w:w="40" w:type="dxa"/>
            </w:tcMar>
            <w:vAlign w:val="center"/>
          </w:tcPr>
          <w:p>
            <w:pPr>
              <w:pStyle w:val="TableContents"/>
              <w:bidi w:val="0"/>
              <w:spacing w:before="0" w:after="283"/>
              <w:jc w:val="right"/>
              <w:rPr/>
            </w:pPr>
            <w:r>
              <w:rPr/>
              <w:t>   </w:t>
            </w:r>
            <w:r>
              <w:rPr>
                <w:rFonts w:ascii="Arial;Helvetica;Sans-Serif" w:hAnsi="Arial;Helvetica;Sans-Serif"/>
                <w:b/>
                <w:sz w:val="18"/>
              </w:rPr>
              <w:t xml:space="preserve">2.16 </w:t>
            </w:r>
          </w:p>
        </w:tc>
        <w:tc>
          <w:tcPr>
            <w:tcW w:w="140" w:type="dxa"/>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25" w:type="dxa"/>
            <w:tcBorders>
              <w:bottom w:val="single" w:sz="8" w:space="0" w:color="000000"/>
            </w:tcBorders>
            <w:tcMar>
              <w:bottom w:w="40" w:type="dxa"/>
            </w:tcMar>
            <w:vAlign w:val="center"/>
          </w:tcPr>
          <w:p>
            <w:pPr>
              <w:pStyle w:val="TableContents"/>
              <w:bidi w:val="0"/>
              <w:spacing w:before="0" w:after="283"/>
              <w:jc w:val="right"/>
              <w:rPr/>
            </w:pPr>
            <w:r>
              <w:rPr/>
              <w:t>     </w:t>
            </w:r>
            <w:r>
              <w:rPr>
                <w:rFonts w:ascii="Arial;Helvetica;Sans-Serif" w:hAnsi="Arial;Helvetica;Sans-Serif"/>
                <w:b/>
                <w:sz w:val="18"/>
              </w:rPr>
              <w:t xml:space="preserve">4.57 </w:t>
            </w:r>
          </w:p>
        </w:tc>
        <w:tc>
          <w:tcPr>
            <w:tcW w:w="140" w:type="dxa"/>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560" w:type="dxa"/>
            <w:tcBorders>
              <w:bottom w:val="single" w:sz="8" w:space="0" w:color="000000"/>
            </w:tcBorders>
            <w:tcMar>
              <w:bottom w:w="40" w:type="dxa"/>
            </w:tcMar>
            <w:vAlign w:val="center"/>
          </w:tcPr>
          <w:p>
            <w:pPr>
              <w:pStyle w:val="TableContents"/>
              <w:bidi w:val="0"/>
              <w:spacing w:before="0" w:after="283"/>
              <w:ind w:left="0" w:right="0" w:hanging="180"/>
              <w:jc w:val="right"/>
              <w:rPr/>
            </w:pPr>
            <w:r>
              <w:rPr/>
              <w:t>  </w:t>
            </w:r>
            <w:r>
              <w:rPr>
                <w:rFonts w:ascii="Arial;Helvetica;Sans-Serif" w:hAnsi="Arial;Helvetica;Sans-Serif"/>
                <w:b/>
                <w:sz w:val="18"/>
              </w:rPr>
              <w:t xml:space="preserve">3.97 </w:t>
            </w:r>
          </w:p>
        </w:tc>
      </w:tr>
      <w:tr>
        <w:trPr/>
        <w:tc>
          <w:tcPr>
            <w:tcW w:w="569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Impact of significant variances</w:t>
            </w:r>
            <w:r>
              <w:rPr>
                <w:rFonts w:ascii="Arial;Helvetica;Sans-Serif" w:hAnsi="Arial;Helvetica;Sans-Serif"/>
                <w:position w:val="6"/>
                <w:sz w:val="14"/>
                <w:sz w:val="18"/>
              </w:rPr>
              <w:t>15</w:t>
            </w:r>
          </w:p>
        </w:tc>
        <w:tc>
          <w:tcPr>
            <w:tcW w:w="166" w:type="dxa"/>
            <w:tcBorders>
              <w:bottom w:val="single" w:sz="8" w:space="0" w:color="000000"/>
            </w:tcBorders>
            <w:tcMar>
              <w:bottom w:w="28" w:type="dxa"/>
            </w:tcMar>
            <w:vAlign w:val="center"/>
          </w:tcPr>
          <w:p>
            <w:pPr>
              <w:pStyle w:val="TableContents"/>
              <w:bidi w:val="0"/>
              <w:spacing w:before="0" w:after="283"/>
              <w:jc w:val="center"/>
              <w:rPr/>
            </w:pPr>
            <w:r>
              <w:rPr/>
              <w:t> </w:t>
            </w:r>
          </w:p>
        </w:tc>
        <w:tc>
          <w:tcPr>
            <w:tcW w:w="649" w:type="dxa"/>
            <w:tcBorders>
              <w:bottom w:val="single" w:sz="8" w:space="0" w:color="000000"/>
            </w:tcBorders>
            <w:tcMar>
              <w:bottom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(0.08)</w:t>
            </w:r>
          </w:p>
        </w:tc>
        <w:tc>
          <w:tcPr>
            <w:tcW w:w="166" w:type="dxa"/>
            <w:tcBorders>
              <w:bottom w:val="single" w:sz="8" w:space="0" w:color="000000"/>
            </w:tcBorders>
            <w:tcMar>
              <w:bottom w:w="28" w:type="dxa"/>
            </w:tcMar>
            <w:vAlign w:val="center"/>
          </w:tcPr>
          <w:p>
            <w:pPr>
              <w:pStyle w:val="TableContents"/>
              <w:bidi w:val="0"/>
              <w:spacing w:before="0" w:after="283"/>
              <w:jc w:val="center"/>
              <w:rPr/>
            </w:pPr>
            <w:r>
              <w:rPr/>
              <w:t> </w:t>
            </w:r>
          </w:p>
        </w:tc>
        <w:tc>
          <w:tcPr>
            <w:tcW w:w="792" w:type="dxa"/>
            <w:tcBorders>
              <w:bottom w:val="single" w:sz="8" w:space="0" w:color="000000"/>
            </w:tcBorders>
            <w:tcMar>
              <w:bottom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(0.09)</w:t>
            </w:r>
          </w:p>
        </w:tc>
        <w:tc>
          <w:tcPr>
            <w:tcW w:w="140" w:type="dxa"/>
            <w:tcBorders>
              <w:bottom w:val="single" w:sz="8" w:space="0" w:color="000000"/>
            </w:tcBorders>
            <w:tcMar>
              <w:bottom w:w="28" w:type="dxa"/>
            </w:tcMar>
            <w:vAlign w:val="center"/>
          </w:tcPr>
          <w:p>
            <w:pPr>
              <w:pStyle w:val="TableContents"/>
              <w:bidi w:val="0"/>
              <w:spacing w:before="0" w:after="283"/>
              <w:jc w:val="center"/>
              <w:rPr/>
            </w:pPr>
            <w:r>
              <w:rPr/>
              <w:t> </w:t>
            </w:r>
          </w:p>
        </w:tc>
        <w:tc>
          <w:tcPr>
            <w:tcW w:w="725" w:type="dxa"/>
            <w:tcBorders>
              <w:bottom w:val="single" w:sz="8" w:space="0" w:color="000000"/>
            </w:tcBorders>
            <w:tcMar>
              <w:bottom w:w="4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0.02</w:t>
            </w:r>
          </w:p>
        </w:tc>
        <w:tc>
          <w:tcPr>
            <w:tcW w:w="140" w:type="dxa"/>
            <w:tcBorders>
              <w:bottom w:val="single" w:sz="8" w:space="0" w:color="000000"/>
            </w:tcBorders>
            <w:tcMar>
              <w:bottom w:w="28" w:type="dxa"/>
            </w:tcMar>
            <w:vAlign w:val="center"/>
          </w:tcPr>
          <w:p>
            <w:pPr>
              <w:pStyle w:val="TableContents"/>
              <w:bidi w:val="0"/>
              <w:spacing w:before="0" w:after="283"/>
              <w:jc w:val="center"/>
              <w:rPr/>
            </w:pPr>
            <w:r>
              <w:rPr/>
              <w:t> </w:t>
            </w:r>
          </w:p>
        </w:tc>
        <w:tc>
          <w:tcPr>
            <w:tcW w:w="560" w:type="dxa"/>
            <w:tcBorders>
              <w:bottom w:val="single" w:sz="8" w:space="0" w:color="000000"/>
            </w:tcBorders>
            <w:tcMar>
              <w:bottom w:w="40" w:type="dxa"/>
            </w:tcMar>
            <w:vAlign w:val="center"/>
          </w:tcPr>
          <w:p>
            <w:pPr>
              <w:pStyle w:val="TableContents"/>
              <w:bidi w:val="0"/>
              <w:spacing w:before="0" w:after="283"/>
              <w:ind w:left="0" w:right="0" w:hanging="180"/>
              <w:jc w:val="right"/>
              <w:rPr>
                <w:rFonts w:ascii="Arial;Helvetica;Sans-Serif" w:hAnsi="Arial;Helvetica;Sans-Serif"/>
                <w:sz w:val="18"/>
              </w:rPr>
            </w:pPr>
            <w:r>
              <w:rPr>
                <w:rFonts w:ascii="Arial;Helvetica;Sans-Serif" w:hAnsi="Arial;Helvetica;Sans-Serif"/>
                <w:sz w:val="18"/>
              </w:rPr>
              <w:t>0.02</w:t>
            </w:r>
          </w:p>
        </w:tc>
      </w:tr>
      <w:tr>
        <w:trPr/>
        <w:tc>
          <w:tcPr>
            <w:tcW w:w="5690"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Non-GAAP Operating Earnings, excluding significant variances</w:t>
            </w:r>
          </w:p>
        </w:tc>
        <w:tc>
          <w:tcPr>
            <w:tcW w:w="166" w:type="dxa"/>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649" w:type="dxa"/>
            <w:tcBorders>
              <w:bottom w:val="single" w:sz="8" w:space="0" w:color="000000"/>
            </w:tcBorders>
            <w:tcMar>
              <w:bottom w:w="40" w:type="dxa"/>
            </w:tcMar>
            <w:vAlign w:val="center"/>
          </w:tcPr>
          <w:p>
            <w:pPr>
              <w:pStyle w:val="TableContents"/>
              <w:bidi w:val="0"/>
              <w:spacing w:before="0" w:after="283"/>
              <w:jc w:val="right"/>
              <w:rPr/>
            </w:pPr>
            <w:r>
              <w:rPr/>
              <w:t>  </w:t>
            </w:r>
            <w:r>
              <w:rPr>
                <w:rFonts w:ascii="Arial;Helvetica;Sans-Serif" w:hAnsi="Arial;Helvetica;Sans-Serif"/>
                <w:b/>
                <w:sz w:val="18"/>
              </w:rPr>
              <w:t xml:space="preserve">2.42 </w:t>
            </w:r>
          </w:p>
        </w:tc>
        <w:tc>
          <w:tcPr>
            <w:tcW w:w="166" w:type="dxa"/>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92" w:type="dxa"/>
            <w:tcBorders>
              <w:bottom w:val="single" w:sz="8" w:space="0" w:color="000000"/>
            </w:tcBorders>
            <w:tcMar>
              <w:bottom w:w="40" w:type="dxa"/>
            </w:tcMar>
            <w:vAlign w:val="center"/>
          </w:tcPr>
          <w:p>
            <w:pPr>
              <w:pStyle w:val="TableContents"/>
              <w:bidi w:val="0"/>
              <w:spacing w:before="0" w:after="283"/>
              <w:jc w:val="right"/>
              <w:rPr/>
            </w:pPr>
            <w:r>
              <w:rPr/>
              <w:t>   </w:t>
            </w:r>
            <w:r>
              <w:rPr>
                <w:rFonts w:ascii="Arial;Helvetica;Sans-Serif" w:hAnsi="Arial;Helvetica;Sans-Serif"/>
                <w:b/>
                <w:sz w:val="18"/>
              </w:rPr>
              <w:t xml:space="preserve">2.07 </w:t>
            </w:r>
          </w:p>
        </w:tc>
        <w:tc>
          <w:tcPr>
            <w:tcW w:w="140" w:type="dxa"/>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725" w:type="dxa"/>
            <w:tcBorders>
              <w:bottom w:val="single" w:sz="8" w:space="0" w:color="000000"/>
            </w:tcBorders>
            <w:tcMar>
              <w:bottom w:w="40" w:type="dxa"/>
            </w:tcMar>
            <w:vAlign w:val="center"/>
          </w:tcPr>
          <w:p>
            <w:pPr>
              <w:pStyle w:val="TableContents"/>
              <w:bidi w:val="0"/>
              <w:spacing w:before="0" w:after="283"/>
              <w:jc w:val="right"/>
              <w:rPr/>
            </w:pPr>
            <w:r>
              <w:rPr/>
              <w:t>     </w:t>
            </w:r>
            <w:r>
              <w:rPr>
                <w:rFonts w:ascii="Arial;Helvetica;Sans-Serif" w:hAnsi="Arial;Helvetica;Sans-Serif"/>
                <w:b/>
                <w:sz w:val="18"/>
              </w:rPr>
              <w:t xml:space="preserve">4.59 </w:t>
            </w:r>
          </w:p>
        </w:tc>
        <w:tc>
          <w:tcPr>
            <w:tcW w:w="140" w:type="dxa"/>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560" w:type="dxa"/>
            <w:tcBorders>
              <w:bottom w:val="single" w:sz="8" w:space="0" w:color="000000"/>
            </w:tcBorders>
            <w:tcMar>
              <w:bottom w:w="40" w:type="dxa"/>
            </w:tcMar>
            <w:vAlign w:val="center"/>
          </w:tcPr>
          <w:p>
            <w:pPr>
              <w:pStyle w:val="TableContents"/>
              <w:bidi w:val="0"/>
              <w:spacing w:before="0" w:after="283"/>
              <w:ind w:left="0" w:right="0" w:hanging="180"/>
              <w:jc w:val="right"/>
              <w:rPr/>
            </w:pPr>
            <w:r>
              <w:rPr/>
              <w:t>  </w:t>
            </w:r>
            <w:r>
              <w:rPr>
                <w:rFonts w:ascii="Arial;Helvetica;Sans-Serif" w:hAnsi="Arial;Helvetica;Sans-Serif"/>
                <w:b/>
                <w:sz w:val="18"/>
              </w:rPr>
              <w:t xml:space="preserve">3.99 </w:t>
            </w:r>
          </w:p>
        </w:tc>
      </w:tr>
      <w:tr>
        <w:trPr/>
        <w:tc>
          <w:tcPr>
            <w:tcW w:w="569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b/>
                <w:sz w:val="18"/>
              </w:rPr>
              <w:t xml:space="preserve">Weighted-average diluted common shares outstanding </w:t>
            </w:r>
            <w:r>
              <w:rPr>
                <w:rFonts w:ascii="Arial;Helvetica;Sans-Serif" w:hAnsi="Arial;Helvetica;Sans-Serif"/>
                <w:sz w:val="18"/>
              </w:rPr>
              <w:t>(in millions)</w:t>
            </w:r>
          </w:p>
        </w:tc>
        <w:tc>
          <w:tcPr>
            <w:tcW w:w="166" w:type="dxa"/>
            <w:tcBorders/>
            <w:vAlign w:val="center"/>
          </w:tcPr>
          <w:p>
            <w:pPr>
              <w:pStyle w:val="TableContents"/>
              <w:bidi w:val="0"/>
              <w:spacing w:before="0" w:after="283"/>
              <w:jc w:val="center"/>
              <w:rPr/>
            </w:pPr>
            <w:r>
              <w:rPr/>
              <w:t> </w:t>
            </w:r>
          </w:p>
        </w:tc>
        <w:tc>
          <w:tcPr>
            <w:tcW w:w="649" w:type="dxa"/>
            <w:tcBorders/>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218.7</w:t>
            </w:r>
          </w:p>
        </w:tc>
        <w:tc>
          <w:tcPr>
            <w:tcW w:w="166" w:type="dxa"/>
            <w:tcBorders/>
            <w:vAlign w:val="center"/>
          </w:tcPr>
          <w:p>
            <w:pPr>
              <w:pStyle w:val="TableContents"/>
              <w:bidi w:val="0"/>
              <w:spacing w:before="0" w:after="283"/>
              <w:jc w:val="center"/>
              <w:rPr/>
            </w:pPr>
            <w:r>
              <w:rPr/>
              <w:t> </w:t>
            </w:r>
          </w:p>
        </w:tc>
        <w:tc>
          <w:tcPr>
            <w:tcW w:w="792" w:type="dxa"/>
            <w:tcBorders/>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226.5</w:t>
            </w:r>
          </w:p>
        </w:tc>
        <w:tc>
          <w:tcPr>
            <w:tcW w:w="140" w:type="dxa"/>
            <w:tcBorders/>
            <w:vAlign w:val="center"/>
          </w:tcPr>
          <w:p>
            <w:pPr>
              <w:pStyle w:val="TableContents"/>
              <w:bidi w:val="0"/>
              <w:spacing w:before="0" w:after="283"/>
              <w:jc w:val="center"/>
              <w:rPr/>
            </w:pPr>
            <w:r>
              <w:rPr/>
              <w:t> </w:t>
            </w:r>
          </w:p>
        </w:tc>
        <w:tc>
          <w:tcPr>
            <w:tcW w:w="725" w:type="dxa"/>
            <w:tcBorders/>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219.5</w:t>
            </w:r>
          </w:p>
        </w:tc>
        <w:tc>
          <w:tcPr>
            <w:tcW w:w="140" w:type="dxa"/>
            <w:tcBorders/>
            <w:vAlign w:val="center"/>
          </w:tcPr>
          <w:p>
            <w:pPr>
              <w:pStyle w:val="TableContents"/>
              <w:bidi w:val="0"/>
              <w:spacing w:before="0" w:after="283"/>
              <w:jc w:val="center"/>
              <w:rPr/>
            </w:pPr>
            <w:r>
              <w:rPr/>
              <w:t> </w:t>
            </w:r>
          </w:p>
        </w:tc>
        <w:tc>
          <w:tcPr>
            <w:tcW w:w="560" w:type="dxa"/>
            <w:tcBorders/>
            <w:vAlign w:val="center"/>
          </w:tcPr>
          <w:p>
            <w:pPr>
              <w:pStyle w:val="TableContents"/>
              <w:bidi w:val="0"/>
              <w:spacing w:before="0" w:after="283"/>
              <w:jc w:val="right"/>
              <w:rPr>
                <w:rFonts w:ascii="Arial;Helvetica;Sans-Serif" w:hAnsi="Arial;Helvetica;Sans-Serif"/>
                <w:b/>
                <w:sz w:val="18"/>
              </w:rPr>
            </w:pPr>
            <w:r>
              <w:rPr>
                <w:rFonts w:ascii="Arial;Helvetica;Sans-Serif" w:hAnsi="Arial;Helvetica;Sans-Serif"/>
                <w:b/>
                <w:sz w:val="18"/>
              </w:rPr>
              <w:t>227.6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2"/>
        </w:rPr>
      </w:pPr>
      <w:r>
        <w:rPr>
          <w:rFonts w:ascii="Arial;Helvetica;Sans-Serif" w:hAnsi="Arial;Helvetica;Sans-Serif"/>
          <w:b/>
          <w:i w:val="false"/>
          <w:caps w:val="false"/>
          <w:smallCaps w:val="false"/>
          <w:sz w:val="22"/>
        </w:rPr>
        <w:t>*U.S. GAAP (GAAP) net income attributable to PFG versus non-GAAP operating earnings</w:t>
      </w:r>
    </w:p>
    <w:p>
      <w:pPr>
        <w:pStyle w:val="TextBody"/>
        <w:bidi w:val="0"/>
        <w:spacing w:before="0" w:after="0"/>
        <w:ind w:left="0" w:right="0" w:hanging="0"/>
        <w:jc w:val="left"/>
        <w:rPr>
          <w:rFonts w:ascii="Arial;Helvetica;Sans-Serif" w:hAnsi="Arial;Helvetica;Sans-Serif"/>
          <w:b w:val="false"/>
          <w:i w:val="false"/>
          <w:caps w:val="false"/>
          <w:smallCaps w:val="false"/>
          <w:sz w:val="22"/>
        </w:rPr>
      </w:pPr>
      <w:r>
        <w:rPr>
          <w:rFonts w:ascii="Arial;Helvetica;Sans-Serif" w:hAnsi="Arial;Helvetica;Sans-Serif"/>
          <w:b w:val="false"/>
          <w:i w:val="false"/>
          <w:caps w:val="false"/>
          <w:smallCaps w:val="false"/>
          <w:sz w:val="22"/>
        </w:rPr>
        <w:t>Management uses non-GAAP operating earnings, which is a financial measure that excludes the effect of net realized capital gains and losses, as adjusted, income (loss) from exited business and other after-tax adjustments the company believes are not indicative of overall operating trends, for goal setting, as a basis for determining employee and senior management awards and compensation and evaluating performance on a basis comparable to that used by investors and securities analysts. Note: it is possible these adjusting items have occurred in the past and could recur in future reporting periods. While these items may be significant components in understanding and assessing our consolidated financial performance, management believes the presentation of non-GAAP operating earnings enhances the understanding of results of operations by highlighting earnings attributable to the normal, ongoing operations of the company’s businesses.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Selected Balance Sheet Statistics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619"/>
        <w:gridCol w:w="125"/>
        <w:gridCol w:w="740"/>
        <w:gridCol w:w="125"/>
        <w:gridCol w:w="596"/>
      </w:tblGrid>
      <w:tr>
        <w:trPr/>
        <w:tc>
          <w:tcPr>
            <w:tcW w:w="8619" w:type="dxa"/>
            <w:vMerge w:val="restart"/>
            <w:tcBorders/>
            <w:shd w:fill="004C97" w:val="clear"/>
            <w:vAlign w:val="center"/>
          </w:tcPr>
          <w:p>
            <w:pPr>
              <w:pStyle w:val="TableContents"/>
              <w:bidi w:val="0"/>
              <w:spacing w:before="0" w:after="283"/>
              <w:ind w:left="0" w:right="0" w:hanging="360"/>
              <w:jc w:val="right"/>
              <w:rPr/>
            </w:pPr>
            <w:r>
              <w:rPr/>
              <w:t> </w:t>
            </w:r>
          </w:p>
        </w:tc>
        <w:tc>
          <w:tcPr>
            <w:tcW w:w="1586" w:type="dxa"/>
            <w:gridSpan w:val="4"/>
            <w:tcBorders/>
            <w:shd w:fill="004C97" w:val="cle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Period Ended,</w:t>
            </w:r>
          </w:p>
        </w:tc>
      </w:tr>
      <w:tr>
        <w:trPr/>
        <w:tc>
          <w:tcPr>
            <w:tcW w:w="8619" w:type="dxa"/>
            <w:vMerge w:val="continue"/>
            <w:tcBorders/>
            <w:shd w:fill="004C97" w:val="clear"/>
            <w:vAlign w:val="center"/>
          </w:tcPr>
          <w:p>
            <w:pPr>
              <w:pStyle w:val="Normal"/>
              <w:bidi w:val="0"/>
              <w:jc w:val="left"/>
              <w:rPr/>
            </w:pPr>
            <w:r>
              <w:rPr/>
            </w:r>
          </w:p>
        </w:tc>
        <w:tc>
          <w:tcPr>
            <w:tcW w:w="865" w:type="dxa"/>
            <w:gridSpan w:val="2"/>
            <w:tcBorders/>
            <w:shd w:fill="004C97" w:val="cle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2Q26</w:t>
            </w:r>
          </w:p>
        </w:tc>
        <w:tc>
          <w:tcPr>
            <w:tcW w:w="721" w:type="dxa"/>
            <w:gridSpan w:val="2"/>
            <w:tcBorders/>
            <w:shd w:fill="004C97" w:val="clear"/>
            <w:vAlign w:val="center"/>
          </w:tcPr>
          <w:p>
            <w:pPr>
              <w:pStyle w:val="TableContents"/>
              <w:bidi w:val="0"/>
              <w:spacing w:before="0" w:after="283"/>
              <w:ind w:left="0" w:right="0" w:hanging="360"/>
              <w:jc w:val="center"/>
              <w:rPr>
                <w:rFonts w:ascii="Arial;Helvetica;Sans-Serif" w:hAnsi="Arial;Helvetica;Sans-Serif"/>
                <w:color w:val="FFFFFF"/>
                <w:sz w:val="18"/>
              </w:rPr>
            </w:pPr>
            <w:r>
              <w:rPr>
                <w:rFonts w:ascii="Arial;Helvetica;Sans-Serif" w:hAnsi="Arial;Helvetica;Sans-Serif"/>
                <w:color w:val="FFFFFF"/>
                <w:sz w:val="18"/>
              </w:rPr>
              <w:t>4Q25</w:t>
            </w:r>
          </w:p>
        </w:tc>
      </w:tr>
      <w:tr>
        <w:trPr/>
        <w:tc>
          <w:tcPr>
            <w:tcW w:w="8619"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Total assets (in billions)</w:t>
            </w:r>
          </w:p>
        </w:tc>
        <w:tc>
          <w:tcPr>
            <w:tcW w:w="125"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740"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352.8</w:t>
            </w:r>
          </w:p>
        </w:tc>
        <w:tc>
          <w:tcPr>
            <w:tcW w:w="125"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596" w:type="dxa"/>
            <w:tcBorders/>
            <w:vAlign w:val="center"/>
          </w:tcPr>
          <w:p>
            <w:pPr>
              <w:pStyle w:val="TableContents"/>
              <w:bidi w:val="0"/>
              <w:spacing w:before="0" w:after="283"/>
              <w:ind w:left="0" w:right="0" w:hanging="360"/>
              <w:jc w:val="right"/>
              <w:rPr>
                <w:rFonts w:ascii="Arial;Helvetica;Sans-Serif" w:hAnsi="Arial;Helvetica;Sans-Serif"/>
                <w:sz w:val="18"/>
              </w:rPr>
            </w:pPr>
            <w:r>
              <w:rPr>
                <w:rFonts w:ascii="Arial;Helvetica;Sans-Serif" w:hAnsi="Arial;Helvetica;Sans-Serif"/>
                <w:sz w:val="18"/>
              </w:rPr>
              <w:t>341.4</w:t>
            </w:r>
          </w:p>
        </w:tc>
      </w:tr>
      <w:tr>
        <w:trPr/>
        <w:tc>
          <w:tcPr>
            <w:tcW w:w="8619"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Stockholders’ equity (in millions)</w:t>
            </w:r>
          </w:p>
        </w:tc>
        <w:tc>
          <w:tcPr>
            <w:tcW w:w="125"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740"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12,177.8</w:t>
            </w:r>
          </w:p>
        </w:tc>
        <w:tc>
          <w:tcPr>
            <w:tcW w:w="125"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596" w:type="dxa"/>
            <w:tcBorders/>
            <w:vAlign w:val="center"/>
          </w:tcPr>
          <w:p>
            <w:pPr>
              <w:pStyle w:val="TableContents"/>
              <w:bidi w:val="0"/>
              <w:spacing w:before="0" w:after="283"/>
              <w:ind w:left="0" w:right="0" w:hanging="360"/>
              <w:jc w:val="right"/>
              <w:rPr>
                <w:rFonts w:ascii="Arial;Helvetica;Sans-Serif" w:hAnsi="Arial;Helvetica;Sans-Serif"/>
                <w:sz w:val="18"/>
              </w:rPr>
            </w:pPr>
            <w:r>
              <w:rPr>
                <w:rFonts w:ascii="Arial;Helvetica;Sans-Serif" w:hAnsi="Arial;Helvetica;Sans-Serif"/>
                <w:sz w:val="18"/>
              </w:rPr>
              <w:t>11,917.0</w:t>
            </w:r>
          </w:p>
        </w:tc>
      </w:tr>
      <w:tr>
        <w:trPr/>
        <w:tc>
          <w:tcPr>
            <w:tcW w:w="8619"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Stockholders’ equity available to common stockholders (in millions)</w:t>
            </w:r>
          </w:p>
        </w:tc>
        <w:tc>
          <w:tcPr>
            <w:tcW w:w="125"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740"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12,142.8</w:t>
            </w:r>
          </w:p>
        </w:tc>
        <w:tc>
          <w:tcPr>
            <w:tcW w:w="125"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596" w:type="dxa"/>
            <w:tcBorders/>
            <w:vAlign w:val="center"/>
          </w:tcPr>
          <w:p>
            <w:pPr>
              <w:pStyle w:val="TableContents"/>
              <w:bidi w:val="0"/>
              <w:spacing w:before="0" w:after="283"/>
              <w:ind w:left="0" w:right="0" w:hanging="360"/>
              <w:jc w:val="right"/>
              <w:rPr>
                <w:rFonts w:ascii="Arial;Helvetica;Sans-Serif" w:hAnsi="Arial;Helvetica;Sans-Serif"/>
                <w:sz w:val="18"/>
              </w:rPr>
            </w:pPr>
            <w:r>
              <w:rPr>
                <w:rFonts w:ascii="Arial;Helvetica;Sans-Serif" w:hAnsi="Arial;Helvetica;Sans-Serif"/>
                <w:sz w:val="18"/>
              </w:rPr>
              <w:t>11,883.9</w:t>
            </w:r>
          </w:p>
        </w:tc>
      </w:tr>
      <w:tr>
        <w:trPr/>
        <w:tc>
          <w:tcPr>
            <w:tcW w:w="8619"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Stockholders’ equity, excluding cumulative change in fair value of funds withheld embedded derivative and accumulated other comprehensive income (AOCI) other than foreign currency translation adjustment, available to common stockholders (in millions)</w:t>
            </w:r>
          </w:p>
        </w:tc>
        <w:tc>
          <w:tcPr>
            <w:tcW w:w="125"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740"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12,531.8</w:t>
            </w:r>
          </w:p>
        </w:tc>
        <w:tc>
          <w:tcPr>
            <w:tcW w:w="125"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596" w:type="dxa"/>
            <w:tcBorders/>
            <w:vAlign w:val="center"/>
          </w:tcPr>
          <w:p>
            <w:pPr>
              <w:pStyle w:val="TableContents"/>
              <w:bidi w:val="0"/>
              <w:spacing w:before="0" w:after="283"/>
              <w:ind w:left="0" w:right="0" w:hanging="360"/>
              <w:jc w:val="right"/>
              <w:rPr>
                <w:rFonts w:ascii="Arial;Helvetica;Sans-Serif" w:hAnsi="Arial;Helvetica;Sans-Serif"/>
                <w:sz w:val="18"/>
              </w:rPr>
            </w:pPr>
            <w:r>
              <w:rPr>
                <w:rFonts w:ascii="Arial;Helvetica;Sans-Serif" w:hAnsi="Arial;Helvetica;Sans-Serif"/>
                <w:sz w:val="18"/>
              </w:rPr>
              <w:t>12,445.5</w:t>
            </w:r>
          </w:p>
        </w:tc>
      </w:tr>
      <w:tr>
        <w:trPr/>
        <w:tc>
          <w:tcPr>
            <w:tcW w:w="8619"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End of period common shares outstanding (in millions)</w:t>
            </w:r>
          </w:p>
        </w:tc>
        <w:tc>
          <w:tcPr>
            <w:tcW w:w="865"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214.6</w:t>
            </w:r>
          </w:p>
        </w:tc>
        <w:tc>
          <w:tcPr>
            <w:tcW w:w="721" w:type="dxa"/>
            <w:gridSpan w:val="2"/>
            <w:tcBorders/>
            <w:vAlign w:val="center"/>
          </w:tcPr>
          <w:p>
            <w:pPr>
              <w:pStyle w:val="TableContents"/>
              <w:bidi w:val="0"/>
              <w:spacing w:before="0" w:after="283"/>
              <w:ind w:left="0" w:right="0" w:hanging="360"/>
              <w:jc w:val="right"/>
              <w:rPr>
                <w:rFonts w:ascii="Arial;Helvetica;Sans-Serif" w:hAnsi="Arial;Helvetica;Sans-Serif"/>
                <w:sz w:val="18"/>
              </w:rPr>
            </w:pPr>
            <w:r>
              <w:rPr>
                <w:rFonts w:ascii="Arial;Helvetica;Sans-Serif" w:hAnsi="Arial;Helvetica;Sans-Serif"/>
                <w:sz w:val="18"/>
              </w:rPr>
              <w:t>217.4</w:t>
            </w:r>
          </w:p>
        </w:tc>
      </w:tr>
      <w:tr>
        <w:trPr/>
        <w:tc>
          <w:tcPr>
            <w:tcW w:w="8619"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Book value per common share</w:t>
            </w:r>
          </w:p>
        </w:tc>
        <w:tc>
          <w:tcPr>
            <w:tcW w:w="125"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740"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56.58</w:t>
            </w:r>
          </w:p>
        </w:tc>
        <w:tc>
          <w:tcPr>
            <w:tcW w:w="125"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596" w:type="dxa"/>
            <w:tcBorders/>
            <w:vAlign w:val="center"/>
          </w:tcPr>
          <w:p>
            <w:pPr>
              <w:pStyle w:val="TableContents"/>
              <w:bidi w:val="0"/>
              <w:spacing w:before="0" w:after="283"/>
              <w:ind w:left="0" w:right="0" w:hanging="360"/>
              <w:jc w:val="right"/>
              <w:rPr>
                <w:rFonts w:ascii="Arial;Helvetica;Sans-Serif" w:hAnsi="Arial;Helvetica;Sans-Serif"/>
                <w:sz w:val="18"/>
              </w:rPr>
            </w:pPr>
            <w:r>
              <w:rPr>
                <w:rFonts w:ascii="Arial;Helvetica;Sans-Serif" w:hAnsi="Arial;Helvetica;Sans-Serif"/>
                <w:sz w:val="18"/>
              </w:rPr>
              <w:t>54.66</w:t>
            </w:r>
          </w:p>
        </w:tc>
      </w:tr>
      <w:tr>
        <w:trPr/>
        <w:tc>
          <w:tcPr>
            <w:tcW w:w="8619"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Book value per common share excluding cumulative change in fair value of funds withheld embedded derivative and AOCI other than foreign currency translation adjustment</w:t>
            </w:r>
          </w:p>
        </w:tc>
        <w:tc>
          <w:tcPr>
            <w:tcW w:w="125"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740"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58.40</w:t>
            </w:r>
          </w:p>
        </w:tc>
        <w:tc>
          <w:tcPr>
            <w:tcW w:w="125"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596"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57.25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60"/>
        <w:jc w:val="left"/>
        <w:rPr>
          <w:bdr w:val="single" w:sz="8" w:space="1" w:color="000000"/>
        </w:rPr>
      </w:pPr>
      <w:r>
        <w:rPr>
          <w:bdr w:val="single" w:sz="8" w:space="1" w:color="000000"/>
        </w:rPr>
        <w:t> </w:t>
      </w:r>
    </w:p>
    <w:p>
      <w:pPr>
        <w:pStyle w:val="TextBody"/>
        <w:bidi w:val="0"/>
        <w:spacing w:before="0" w:after="0"/>
        <w:ind w:left="0" w:right="0" w:hanging="0"/>
        <w:jc w:val="left"/>
        <w:rPr>
          <w:rFonts w:ascii="Arial;Helvetica;Sans-Serif" w:hAnsi="Arial;Helvetica;Sans-Serif"/>
          <w:b w:val="false"/>
          <w:i w:val="false"/>
          <w:caps w:val="false"/>
          <w:smallCaps w:val="false"/>
          <w:sz w:val="16"/>
        </w:rPr>
      </w:pPr>
      <w:r>
        <w:rPr>
          <w:rFonts w:ascii="Arial;Helvetica;Sans-Serif" w:hAnsi="Arial;Helvetica;Sans-Serif"/>
          <w:b w:val="false"/>
          <w:i w:val="false"/>
          <w:caps w:val="false"/>
          <w:smallCaps w:val="false"/>
          <w:position w:val="5"/>
          <w:sz w:val="13"/>
          <w:sz w:val="16"/>
        </w:rPr>
        <w:t>15</w:t>
      </w:r>
      <w:r>
        <w:rPr>
          <w:rFonts w:ascii="Arial;Helvetica;Sans-Serif" w:hAnsi="Arial;Helvetica;Sans-Serif"/>
          <w:b w:val="false"/>
          <w:i w:val="false"/>
          <w:caps w:val="false"/>
          <w:smallCaps w:val="false"/>
          <w:sz w:val="16"/>
        </w:rPr>
        <w:t xml:space="preserve"> See Exhibit 1 for details on the impact of 2Q 2026 and 2Q 2025 significant variances on net income attributable to PFG; non-GAAP net income attributable to PFG, excluding exited business; and non-GAAP operating earnings.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Principal Financial Group, Inc.</w:t>
      </w:r>
    </w:p>
    <w:p>
      <w:pPr>
        <w:pStyle w:val="TextBody"/>
        <w:bidi w:val="0"/>
        <w:spacing w:before="0" w:after="0"/>
        <w:ind w:left="0" w:right="0" w:hanging="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Reconciliation of U.S. GAAP to Non-GAAP Financial Measures</w:t>
      </w:r>
    </w:p>
    <w:p>
      <w:pPr>
        <w:pStyle w:val="TextBody"/>
        <w:bidi w:val="0"/>
        <w:spacing w:before="0" w:after="0"/>
        <w:ind w:left="0" w:right="0" w:hanging="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(in millions, except as indicated)</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14"/>
        <w:gridCol w:w="125"/>
        <w:gridCol w:w="740"/>
        <w:gridCol w:w="125"/>
        <w:gridCol w:w="701"/>
      </w:tblGrid>
      <w:tr>
        <w:trPr/>
        <w:tc>
          <w:tcPr>
            <w:tcW w:w="8514" w:type="dxa"/>
            <w:tcBorders/>
            <w:shd w:fill="004C97" w:val="clear"/>
            <w:vAlign w:val="center"/>
          </w:tcPr>
          <w:p>
            <w:pPr>
              <w:pStyle w:val="TableContents"/>
              <w:bidi w:val="0"/>
              <w:spacing w:before="0" w:after="283"/>
              <w:ind w:left="0" w:right="0" w:hanging="360"/>
              <w:jc w:val="center"/>
              <w:rPr/>
            </w:pPr>
            <w:r>
              <w:rPr/>
              <w:t> </w:t>
            </w:r>
          </w:p>
        </w:tc>
        <w:tc>
          <w:tcPr>
            <w:tcW w:w="1691" w:type="dxa"/>
            <w:gridSpan w:val="4"/>
            <w:tcBorders/>
            <w:shd w:fill="004C97" w:val="clear"/>
            <w:vAlign w:val="center"/>
          </w:tcPr>
          <w:p>
            <w:pPr>
              <w:pStyle w:val="TableContents"/>
              <w:bidi w:val="0"/>
              <w:spacing w:before="0" w:after="283"/>
              <w:ind w:left="0" w:right="0" w:hanging="360"/>
              <w:jc w:val="center"/>
              <w:rPr>
                <w:rFonts w:ascii="Arial;Helvetica;Sans-Serif" w:hAnsi="Arial;Helvetica;Sans-Serif"/>
                <w:color w:val="FFFFFF"/>
                <w:sz w:val="18"/>
              </w:rPr>
            </w:pPr>
            <w:r>
              <w:rPr>
                <w:rFonts w:ascii="Arial;Helvetica;Sans-Serif" w:hAnsi="Arial;Helvetica;Sans-Serif"/>
                <w:color w:val="FFFFFF"/>
                <w:sz w:val="18"/>
              </w:rPr>
              <w:t>Period Ended,</w:t>
            </w:r>
          </w:p>
        </w:tc>
      </w:tr>
      <w:tr>
        <w:trPr/>
        <w:tc>
          <w:tcPr>
            <w:tcW w:w="8514" w:type="dxa"/>
            <w:tcBorders/>
            <w:shd w:fill="004C97" w:val="clear"/>
            <w:vAlign w:val="center"/>
          </w:tcPr>
          <w:p>
            <w:pPr>
              <w:pStyle w:val="TableContents"/>
              <w:bidi w:val="0"/>
              <w:spacing w:before="0" w:after="283"/>
              <w:jc w:val="center"/>
              <w:rPr/>
            </w:pPr>
            <w:r>
              <w:rPr/>
              <w:t> </w:t>
            </w:r>
          </w:p>
        </w:tc>
        <w:tc>
          <w:tcPr>
            <w:tcW w:w="865" w:type="dxa"/>
            <w:gridSpan w:val="2"/>
            <w:tcBorders/>
            <w:shd w:fill="004C97" w:val="cle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2Q26</w:t>
            </w:r>
          </w:p>
        </w:tc>
        <w:tc>
          <w:tcPr>
            <w:tcW w:w="826" w:type="dxa"/>
            <w:gridSpan w:val="2"/>
            <w:tcBorders/>
            <w:shd w:fill="004C97" w:val="clear"/>
            <w:vAlign w:val="center"/>
          </w:tcPr>
          <w:p>
            <w:pPr>
              <w:pStyle w:val="TableContents"/>
              <w:bidi w:val="0"/>
              <w:spacing w:before="0" w:after="283"/>
              <w:ind w:left="0" w:right="0" w:hanging="360"/>
              <w:jc w:val="center"/>
              <w:rPr>
                <w:rFonts w:ascii="Arial;Helvetica;Sans-Serif" w:hAnsi="Arial;Helvetica;Sans-Serif"/>
                <w:color w:val="FFFFFF"/>
                <w:sz w:val="18"/>
              </w:rPr>
            </w:pPr>
            <w:r>
              <w:rPr>
                <w:rFonts w:ascii="Arial;Helvetica;Sans-Serif" w:hAnsi="Arial;Helvetica;Sans-Serif"/>
                <w:color w:val="FFFFFF"/>
                <w:sz w:val="18"/>
              </w:rPr>
              <w:t>4Q25</w:t>
            </w:r>
          </w:p>
        </w:tc>
      </w:tr>
      <w:tr>
        <w:trPr/>
        <w:tc>
          <w:tcPr>
            <w:tcW w:w="8514" w:type="dxa"/>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Stockholders’ Equity, Excluding Cumulative Change in Fair Value of Funds Withheld Embedded Derivative and AOCI Other Than Foreign Currency Translation Adjustment, Available to Common Stockholders:</w:t>
            </w:r>
          </w:p>
        </w:tc>
        <w:tc>
          <w:tcPr>
            <w:tcW w:w="865" w:type="dxa"/>
            <w:gridSpan w:val="2"/>
            <w:tcBorders/>
            <w:vAlign w:val="center"/>
          </w:tcPr>
          <w:p>
            <w:pPr>
              <w:pStyle w:val="TableContents"/>
              <w:bidi w:val="0"/>
              <w:spacing w:before="0" w:after="283"/>
              <w:jc w:val="right"/>
              <w:rPr/>
            </w:pPr>
            <w:r>
              <w:rPr/>
              <w:t> </w:t>
            </w:r>
          </w:p>
        </w:tc>
        <w:tc>
          <w:tcPr>
            <w:tcW w:w="826" w:type="dxa"/>
            <w:gridSpan w:val="2"/>
            <w:tcBorders/>
            <w:vAlign w:val="center"/>
          </w:tcPr>
          <w:p>
            <w:pPr>
              <w:pStyle w:val="TableContents"/>
              <w:bidi w:val="0"/>
              <w:spacing w:before="0" w:after="283"/>
              <w:ind w:left="0" w:right="0" w:hanging="360"/>
              <w:jc w:val="right"/>
              <w:rPr/>
            </w:pPr>
            <w:r>
              <w:rPr/>
              <w:t> </w:t>
            </w:r>
          </w:p>
        </w:tc>
      </w:tr>
      <w:tr>
        <w:trPr/>
        <w:tc>
          <w:tcPr>
            <w:tcW w:w="8514"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Stockholders’ equity</w:t>
            </w:r>
          </w:p>
        </w:tc>
        <w:tc>
          <w:tcPr>
            <w:tcW w:w="125"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740"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12,177.8</w:t>
            </w:r>
          </w:p>
        </w:tc>
        <w:tc>
          <w:tcPr>
            <w:tcW w:w="125"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701" w:type="dxa"/>
            <w:tcBorders/>
            <w:vAlign w:val="center"/>
          </w:tcPr>
          <w:p>
            <w:pPr>
              <w:pStyle w:val="TableContents"/>
              <w:bidi w:val="0"/>
              <w:spacing w:before="0" w:after="283"/>
              <w:ind w:left="0" w:right="0" w:hanging="360"/>
              <w:jc w:val="right"/>
              <w:rPr>
                <w:rFonts w:ascii="Arial;Helvetica;Sans-Serif" w:hAnsi="Arial;Helvetica;Sans-Serif"/>
                <w:sz w:val="18"/>
              </w:rPr>
            </w:pPr>
            <w:r>
              <w:rPr>
                <w:rFonts w:ascii="Arial;Helvetica;Sans-Serif" w:hAnsi="Arial;Helvetica;Sans-Serif"/>
                <w:sz w:val="18"/>
              </w:rPr>
              <w:t xml:space="preserve">11,917.0 </w:t>
            </w:r>
          </w:p>
        </w:tc>
      </w:tr>
      <w:tr>
        <w:trPr/>
        <w:tc>
          <w:tcPr>
            <w:tcW w:w="8514"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Noncontrolling interest</w:t>
            </w:r>
          </w:p>
        </w:tc>
        <w:tc>
          <w:tcPr>
            <w:tcW w:w="865" w:type="dxa"/>
            <w:gridSpan w:val="2"/>
            <w:tcBorders>
              <w:bottom w:val="single" w:sz="8" w:space="0" w:color="000000"/>
            </w:tcBorders>
            <w:tcMar>
              <w:bottom w:w="28" w:type="dxa"/>
            </w:tcMar>
            <w:vAlign w:val="center"/>
          </w:tcPr>
          <w:p>
            <w:pPr>
              <w:pStyle w:val="TableContents"/>
              <w:bidi w:val="0"/>
              <w:spacing w:before="0" w:after="283"/>
              <w:jc w:val="right"/>
              <w:rPr/>
            </w:pPr>
            <w:r>
              <w:rPr/>
              <w:t>  </w:t>
            </w:r>
            <w:r>
              <w:rPr>
                <w:rFonts w:ascii="Arial;Helvetica;Sans-Serif" w:hAnsi="Arial;Helvetica;Sans-Serif"/>
                <w:sz w:val="18"/>
              </w:rPr>
              <w:t>(35.0)</w:t>
            </w:r>
          </w:p>
        </w:tc>
        <w:tc>
          <w:tcPr>
            <w:tcW w:w="826" w:type="dxa"/>
            <w:gridSpan w:val="2"/>
            <w:tcBorders>
              <w:bottom w:val="single" w:sz="8" w:space="0" w:color="000000"/>
            </w:tcBorders>
            <w:tcMar>
              <w:bottom w:w="28" w:type="dxa"/>
            </w:tcMar>
            <w:vAlign w:val="center"/>
          </w:tcPr>
          <w:p>
            <w:pPr>
              <w:pStyle w:val="TableContents"/>
              <w:bidi w:val="0"/>
              <w:spacing w:before="0" w:after="283"/>
              <w:ind w:left="0" w:right="0" w:hanging="360"/>
              <w:jc w:val="right"/>
              <w:rPr/>
            </w:pPr>
            <w:r>
              <w:rPr/>
              <w:t>   </w:t>
            </w:r>
            <w:r>
              <w:rPr>
                <w:rFonts w:ascii="Arial;Helvetica;Sans-Serif" w:hAnsi="Arial;Helvetica;Sans-Serif"/>
                <w:sz w:val="18"/>
              </w:rPr>
              <w:t>(33.1)</w:t>
            </w:r>
          </w:p>
        </w:tc>
      </w:tr>
      <w:tr>
        <w:trPr/>
        <w:tc>
          <w:tcPr>
            <w:tcW w:w="8514"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Stockholders’ equity available to common stockholders</w:t>
            </w:r>
          </w:p>
        </w:tc>
        <w:tc>
          <w:tcPr>
            <w:tcW w:w="865"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12,142.8</w:t>
            </w:r>
          </w:p>
        </w:tc>
        <w:tc>
          <w:tcPr>
            <w:tcW w:w="826" w:type="dxa"/>
            <w:gridSpan w:val="2"/>
            <w:tcBorders/>
            <w:vAlign w:val="center"/>
          </w:tcPr>
          <w:p>
            <w:pPr>
              <w:pStyle w:val="TableContents"/>
              <w:bidi w:val="0"/>
              <w:spacing w:before="0" w:after="283"/>
              <w:ind w:left="0" w:right="0" w:hanging="360"/>
              <w:jc w:val="right"/>
              <w:rPr>
                <w:rFonts w:ascii="Arial;Helvetica;Sans-Serif" w:hAnsi="Arial;Helvetica;Sans-Serif"/>
                <w:sz w:val="18"/>
              </w:rPr>
            </w:pPr>
            <w:r>
              <w:rPr>
                <w:rFonts w:ascii="Arial;Helvetica;Sans-Serif" w:hAnsi="Arial;Helvetica;Sans-Serif"/>
                <w:sz w:val="18"/>
              </w:rPr>
              <w:t>11,883.9</w:t>
            </w:r>
          </w:p>
        </w:tc>
      </w:tr>
      <w:tr>
        <w:trPr/>
        <w:tc>
          <w:tcPr>
            <w:tcW w:w="8514"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Cumulative change in fair value of funds withheld embedded derivative</w:t>
            </w:r>
          </w:p>
        </w:tc>
        <w:tc>
          <w:tcPr>
            <w:tcW w:w="865" w:type="dxa"/>
            <w:gridSpan w:val="2"/>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(2,137.9)</w:t>
            </w:r>
          </w:p>
        </w:tc>
        <w:tc>
          <w:tcPr>
            <w:tcW w:w="826" w:type="dxa"/>
            <w:gridSpan w:val="2"/>
            <w:tcBorders/>
            <w:vAlign w:val="center"/>
          </w:tcPr>
          <w:p>
            <w:pPr>
              <w:pStyle w:val="TableContents"/>
              <w:bidi w:val="0"/>
              <w:spacing w:before="0" w:after="283"/>
              <w:ind w:left="0" w:right="0" w:hanging="360"/>
              <w:jc w:val="right"/>
              <w:rPr>
                <w:rFonts w:ascii="Arial;Helvetica;Sans-Serif" w:hAnsi="Arial;Helvetica;Sans-Serif"/>
                <w:sz w:val="18"/>
              </w:rPr>
            </w:pPr>
            <w:r>
              <w:rPr>
                <w:rFonts w:ascii="Arial;Helvetica;Sans-Serif" w:hAnsi="Arial;Helvetica;Sans-Serif"/>
                <w:sz w:val="18"/>
              </w:rPr>
              <w:t>(2,080.2)</w:t>
            </w:r>
          </w:p>
        </w:tc>
      </w:tr>
      <w:tr>
        <w:trPr/>
        <w:tc>
          <w:tcPr>
            <w:tcW w:w="8514"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AOCI, other than foreign currency translation adjustment</w:t>
            </w:r>
          </w:p>
        </w:tc>
        <w:tc>
          <w:tcPr>
            <w:tcW w:w="865" w:type="dxa"/>
            <w:gridSpan w:val="2"/>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2,526.9</w:t>
            </w:r>
          </w:p>
        </w:tc>
        <w:tc>
          <w:tcPr>
            <w:tcW w:w="826" w:type="dxa"/>
            <w:gridSpan w:val="2"/>
            <w:tcBorders>
              <w:bottom w:val="single" w:sz="8" w:space="0" w:color="000000"/>
            </w:tcBorders>
            <w:tcMar>
              <w:bottom w:w="28" w:type="dxa"/>
            </w:tcMar>
            <w:vAlign w:val="center"/>
          </w:tcPr>
          <w:p>
            <w:pPr>
              <w:pStyle w:val="TableContents"/>
              <w:bidi w:val="0"/>
              <w:spacing w:before="0" w:after="283"/>
              <w:ind w:left="0" w:right="0" w:hanging="360"/>
              <w:jc w:val="right"/>
              <w:rPr>
                <w:rFonts w:ascii="Arial;Helvetica;Sans-Serif" w:hAnsi="Arial;Helvetica;Sans-Serif"/>
                <w:sz w:val="18"/>
              </w:rPr>
            </w:pPr>
            <w:r>
              <w:rPr>
                <w:rFonts w:ascii="Arial;Helvetica;Sans-Serif" w:hAnsi="Arial;Helvetica;Sans-Serif"/>
                <w:sz w:val="18"/>
              </w:rPr>
              <w:t>2,641.8</w:t>
            </w:r>
          </w:p>
        </w:tc>
      </w:tr>
      <w:tr>
        <w:trPr/>
        <w:tc>
          <w:tcPr>
            <w:tcW w:w="8514"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 xml:space="preserve">Stockholders’ equity, excluding cumulative change in fair value of funds withheld embedded derivative and AOCI other than foreign currency translation adjustment, available to common stockholders </w:t>
            </w:r>
          </w:p>
        </w:tc>
        <w:tc>
          <w:tcPr>
            <w:tcW w:w="125"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740"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12,531.8</w:t>
            </w:r>
          </w:p>
        </w:tc>
        <w:tc>
          <w:tcPr>
            <w:tcW w:w="125"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701" w:type="dxa"/>
            <w:tcBorders/>
            <w:vAlign w:val="center"/>
          </w:tcPr>
          <w:p>
            <w:pPr>
              <w:pStyle w:val="TableContents"/>
              <w:bidi w:val="0"/>
              <w:spacing w:before="0" w:after="283"/>
              <w:ind w:left="0" w:right="0" w:hanging="360"/>
              <w:jc w:val="right"/>
              <w:rPr>
                <w:rFonts w:ascii="Arial;Helvetica;Sans-Serif" w:hAnsi="Arial;Helvetica;Sans-Serif"/>
                <w:sz w:val="18"/>
              </w:rPr>
            </w:pPr>
            <w:r>
              <w:rPr>
                <w:rFonts w:ascii="Arial;Helvetica;Sans-Serif" w:hAnsi="Arial;Helvetica;Sans-Serif"/>
                <w:sz w:val="18"/>
              </w:rPr>
              <w:t xml:space="preserve">12,445.5 </w:t>
            </w:r>
          </w:p>
        </w:tc>
      </w:tr>
      <w:tr>
        <w:trPr/>
        <w:tc>
          <w:tcPr>
            <w:tcW w:w="8514" w:type="dxa"/>
            <w:tcBorders/>
            <w:vAlign w:val="center"/>
          </w:tcPr>
          <w:p>
            <w:pPr>
              <w:pStyle w:val="TableContents"/>
              <w:bidi w:val="0"/>
              <w:spacing w:before="0" w:after="283"/>
              <w:jc w:val="left"/>
              <w:rPr/>
            </w:pPr>
            <w:r>
              <w:rPr/>
              <w:t> </w:t>
            </w:r>
          </w:p>
        </w:tc>
        <w:tc>
          <w:tcPr>
            <w:tcW w:w="865" w:type="dxa"/>
            <w:gridSpan w:val="2"/>
            <w:tcBorders/>
            <w:vAlign w:val="center"/>
          </w:tcPr>
          <w:p>
            <w:pPr>
              <w:pStyle w:val="TableContents"/>
              <w:bidi w:val="0"/>
              <w:spacing w:before="0" w:after="283"/>
              <w:jc w:val="right"/>
              <w:rPr/>
            </w:pPr>
            <w:r>
              <w:rPr/>
              <w:t> </w:t>
            </w:r>
          </w:p>
        </w:tc>
        <w:tc>
          <w:tcPr>
            <w:tcW w:w="826" w:type="dxa"/>
            <w:gridSpan w:val="2"/>
            <w:tcBorders/>
            <w:vAlign w:val="center"/>
          </w:tcPr>
          <w:p>
            <w:pPr>
              <w:pStyle w:val="TableContents"/>
              <w:bidi w:val="0"/>
              <w:spacing w:before="0" w:after="283"/>
              <w:ind w:left="0" w:right="0" w:hanging="360"/>
              <w:jc w:val="right"/>
              <w:rPr/>
            </w:pPr>
            <w:r>
              <w:rPr/>
              <w:t> </w:t>
            </w:r>
          </w:p>
        </w:tc>
      </w:tr>
      <w:tr>
        <w:trPr/>
        <w:tc>
          <w:tcPr>
            <w:tcW w:w="8514" w:type="dxa"/>
            <w:tcBorders/>
            <w:vAlign w:val="center"/>
          </w:tcPr>
          <w:p>
            <w:pPr>
              <w:pStyle w:val="TableContents"/>
              <w:bidi w:val="0"/>
              <w:spacing w:before="0" w:after="283"/>
              <w:jc w:val="left"/>
              <w:rPr/>
            </w:pPr>
            <w:r>
              <w:rPr/>
              <w:t> </w:t>
            </w:r>
          </w:p>
        </w:tc>
        <w:tc>
          <w:tcPr>
            <w:tcW w:w="865" w:type="dxa"/>
            <w:gridSpan w:val="2"/>
            <w:tcBorders/>
            <w:vAlign w:val="center"/>
          </w:tcPr>
          <w:p>
            <w:pPr>
              <w:pStyle w:val="TableContents"/>
              <w:bidi w:val="0"/>
              <w:spacing w:before="0" w:after="283"/>
              <w:jc w:val="right"/>
              <w:rPr/>
            </w:pPr>
            <w:r>
              <w:rPr/>
              <w:t> </w:t>
            </w:r>
          </w:p>
        </w:tc>
        <w:tc>
          <w:tcPr>
            <w:tcW w:w="826" w:type="dxa"/>
            <w:gridSpan w:val="2"/>
            <w:tcBorders/>
            <w:vAlign w:val="center"/>
          </w:tcPr>
          <w:p>
            <w:pPr>
              <w:pStyle w:val="TableContents"/>
              <w:bidi w:val="0"/>
              <w:spacing w:before="0" w:after="283"/>
              <w:ind w:left="0" w:right="0" w:hanging="360"/>
              <w:jc w:val="right"/>
              <w:rPr/>
            </w:pPr>
            <w:r>
              <w:rPr/>
              <w:t> </w:t>
            </w:r>
          </w:p>
        </w:tc>
      </w:tr>
      <w:tr>
        <w:trPr/>
        <w:tc>
          <w:tcPr>
            <w:tcW w:w="8514" w:type="dxa"/>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Book Value Per Common Share, Excluding Cumulative Change in Fair Value of Funds Withheld Embedded Derivative and AOCI Other Than Foreign Currency Translation Adjustment:</w:t>
            </w:r>
          </w:p>
        </w:tc>
        <w:tc>
          <w:tcPr>
            <w:tcW w:w="865" w:type="dxa"/>
            <w:gridSpan w:val="2"/>
            <w:tcBorders/>
            <w:vAlign w:val="center"/>
          </w:tcPr>
          <w:p>
            <w:pPr>
              <w:pStyle w:val="TableContents"/>
              <w:bidi w:val="0"/>
              <w:spacing w:before="0" w:after="283"/>
              <w:jc w:val="right"/>
              <w:rPr/>
            </w:pPr>
            <w:r>
              <w:rPr/>
              <w:t> </w:t>
            </w:r>
          </w:p>
        </w:tc>
        <w:tc>
          <w:tcPr>
            <w:tcW w:w="826" w:type="dxa"/>
            <w:gridSpan w:val="2"/>
            <w:tcBorders/>
            <w:vAlign w:val="center"/>
          </w:tcPr>
          <w:p>
            <w:pPr>
              <w:pStyle w:val="TableContents"/>
              <w:bidi w:val="0"/>
              <w:spacing w:before="0" w:after="283"/>
              <w:ind w:left="0" w:right="0" w:hanging="360"/>
              <w:jc w:val="right"/>
              <w:rPr/>
            </w:pPr>
            <w:r>
              <w:rPr/>
              <w:t> </w:t>
            </w:r>
          </w:p>
        </w:tc>
      </w:tr>
      <w:tr>
        <w:trPr/>
        <w:tc>
          <w:tcPr>
            <w:tcW w:w="8514"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Book value per common share</w:t>
            </w:r>
          </w:p>
        </w:tc>
        <w:tc>
          <w:tcPr>
            <w:tcW w:w="125"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740"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56.58</w:t>
            </w:r>
          </w:p>
        </w:tc>
        <w:tc>
          <w:tcPr>
            <w:tcW w:w="125"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701" w:type="dxa"/>
            <w:tcBorders/>
            <w:vAlign w:val="center"/>
          </w:tcPr>
          <w:p>
            <w:pPr>
              <w:pStyle w:val="TableContents"/>
              <w:bidi w:val="0"/>
              <w:spacing w:before="0" w:after="283"/>
              <w:ind w:left="0" w:right="0" w:hanging="360"/>
              <w:jc w:val="right"/>
              <w:rPr/>
            </w:pPr>
            <w:r>
              <w:rPr/>
              <w:t> </w:t>
            </w:r>
            <w:r>
              <w:rPr>
                <w:rFonts w:ascii="Arial;Helvetica;Sans-Serif" w:hAnsi="Arial;Helvetica;Sans-Serif"/>
                <w:sz w:val="18"/>
              </w:rPr>
              <w:t>54.66</w:t>
            </w:r>
          </w:p>
        </w:tc>
      </w:tr>
      <w:tr>
        <w:trPr/>
        <w:tc>
          <w:tcPr>
            <w:tcW w:w="8514" w:type="dxa"/>
            <w:tcBorders>
              <w:bottom w:val="single" w:sz="8" w:space="0" w:color="000000"/>
            </w:tcBorders>
            <w:tcMar>
              <w:bottom w:w="28" w:type="dxa"/>
            </w:tcMar>
            <w:vAlign w:val="center"/>
          </w:tcPr>
          <w:p>
            <w:pPr>
              <w:pStyle w:val="TableContents"/>
              <w:bidi w:val="0"/>
              <w:spacing w:before="0" w:after="283"/>
              <w:ind w:left="0" w:right="0" w:firstLine="180"/>
              <w:jc w:val="left"/>
              <w:rPr>
                <w:rFonts w:ascii="Arial;Helvetica;Sans-Serif" w:hAnsi="Arial;Helvetica;Sans-Serif"/>
                <w:sz w:val="18"/>
              </w:rPr>
            </w:pPr>
            <w:r>
              <w:rPr>
                <w:rFonts w:ascii="Arial;Helvetica;Sans-Serif" w:hAnsi="Arial;Helvetica;Sans-Serif"/>
                <w:sz w:val="18"/>
              </w:rPr>
              <w:t>Cumulative change in fair value of funds withheld embedded derivative and AOCI, other than foreign currency translation adjustment</w:t>
            </w:r>
          </w:p>
        </w:tc>
        <w:tc>
          <w:tcPr>
            <w:tcW w:w="865" w:type="dxa"/>
            <w:gridSpan w:val="2"/>
            <w:tcBorders>
              <w:bottom w:val="single" w:sz="8" w:space="0" w:color="000000"/>
            </w:tcBorders>
            <w:tcMar>
              <w:bottom w:w="28" w:type="dxa"/>
            </w:tcMar>
            <w:vAlign w:val="center"/>
          </w:tcPr>
          <w:p>
            <w:pPr>
              <w:pStyle w:val="TableContents"/>
              <w:bidi w:val="0"/>
              <w:spacing w:before="0" w:after="283"/>
              <w:ind w:left="0" w:right="0" w:firstLine="180"/>
              <w:jc w:val="right"/>
              <w:rPr>
                <w:rFonts w:ascii="Arial;Helvetica;Sans-Serif" w:hAnsi="Arial;Helvetica;Sans-Serif"/>
                <w:sz w:val="18"/>
              </w:rPr>
            </w:pPr>
            <w:r>
              <w:rPr>
                <w:rFonts w:ascii="Arial;Helvetica;Sans-Serif" w:hAnsi="Arial;Helvetica;Sans-Serif"/>
                <w:sz w:val="18"/>
              </w:rPr>
              <w:t>1.82</w:t>
            </w:r>
          </w:p>
        </w:tc>
        <w:tc>
          <w:tcPr>
            <w:tcW w:w="826" w:type="dxa"/>
            <w:gridSpan w:val="2"/>
            <w:tcBorders>
              <w:bottom w:val="single" w:sz="8" w:space="0" w:color="000000"/>
            </w:tcBorders>
            <w:tcMar>
              <w:bottom w:w="28" w:type="dxa"/>
            </w:tcMar>
            <w:vAlign w:val="center"/>
          </w:tcPr>
          <w:p>
            <w:pPr>
              <w:pStyle w:val="TableContents"/>
              <w:bidi w:val="0"/>
              <w:spacing w:before="0" w:after="283"/>
              <w:ind w:left="0" w:right="0" w:hanging="360"/>
              <w:jc w:val="right"/>
              <w:rPr>
                <w:rFonts w:ascii="Arial;Helvetica;Sans-Serif" w:hAnsi="Arial;Helvetica;Sans-Serif"/>
                <w:sz w:val="18"/>
              </w:rPr>
            </w:pPr>
            <w:r>
              <w:rPr>
                <w:rFonts w:ascii="Arial;Helvetica;Sans-Serif" w:hAnsi="Arial;Helvetica;Sans-Serif"/>
                <w:sz w:val="18"/>
              </w:rPr>
              <w:t>2.59</w:t>
            </w:r>
          </w:p>
        </w:tc>
      </w:tr>
      <w:tr>
        <w:trPr/>
        <w:tc>
          <w:tcPr>
            <w:tcW w:w="8514"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Book value per common share, excluding change in fair value of funds withheld embedded derivative and AOCI other than foreign currency translation adjustment</w:t>
            </w:r>
          </w:p>
        </w:tc>
        <w:tc>
          <w:tcPr>
            <w:tcW w:w="125"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740"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58.40</w:t>
            </w:r>
          </w:p>
        </w:tc>
        <w:tc>
          <w:tcPr>
            <w:tcW w:w="125"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701" w:type="dxa"/>
            <w:tcBorders/>
            <w:vAlign w:val="center"/>
          </w:tcPr>
          <w:p>
            <w:pPr>
              <w:pStyle w:val="TableContents"/>
              <w:bidi w:val="0"/>
              <w:spacing w:before="0" w:after="283"/>
              <w:jc w:val="right"/>
              <w:rPr/>
            </w:pPr>
            <w:r>
              <w:rPr/>
              <w:t>  </w:t>
            </w:r>
            <w:r>
              <w:rPr>
                <w:rFonts w:ascii="Arial;Helvetica;Sans-Serif" w:hAnsi="Arial;Helvetica;Sans-Serif"/>
                <w:sz w:val="18"/>
              </w:rPr>
              <w:t>57.25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Principal Financial Group, Inc.</w:t>
      </w:r>
    </w:p>
    <w:p>
      <w:pPr>
        <w:pStyle w:val="TextBody"/>
        <w:bidi w:val="0"/>
        <w:spacing w:before="0" w:after="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Reconciliation of U.S. GAAP to Non-GAAP Financial Measures</w:t>
      </w:r>
    </w:p>
    <w:p>
      <w:pPr>
        <w:pStyle w:val="TextBody"/>
        <w:bidi w:val="0"/>
        <w:spacing w:before="0" w:after="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(in millions)</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19"/>
        <w:gridCol w:w="125"/>
        <w:gridCol w:w="753"/>
        <w:gridCol w:w="208"/>
        <w:gridCol w:w="621"/>
        <w:gridCol w:w="202"/>
        <w:gridCol w:w="883"/>
        <w:gridCol w:w="170"/>
        <w:gridCol w:w="820"/>
        <w:gridCol w:w="104"/>
      </w:tblGrid>
      <w:tr>
        <w:trPr/>
        <w:tc>
          <w:tcPr>
            <w:tcW w:w="6444" w:type="dxa"/>
            <w:gridSpan w:val="2"/>
            <w:tcBorders/>
            <w:shd w:fill="004C97" w:val="clear"/>
            <w:vAlign w:val="center"/>
          </w:tcPr>
          <w:p>
            <w:pPr>
              <w:pStyle w:val="TableContents"/>
              <w:bidi w:val="0"/>
              <w:spacing w:before="0" w:after="283"/>
              <w:jc w:val="left"/>
              <w:rPr>
                <w:caps w:val="false"/>
                <w:smallCaps w:val="false"/>
              </w:rPr>
            </w:pPr>
            <w:r>
              <w:rPr>
                <w:caps w:val="false"/>
                <w:smallCaps w:val="false"/>
              </w:rPr>
              <w:t> </w:t>
            </w:r>
          </w:p>
        </w:tc>
        <w:tc>
          <w:tcPr>
            <w:tcW w:w="1784" w:type="dxa"/>
            <w:gridSpan w:val="4"/>
            <w:tcBorders/>
            <w:shd w:fill="004C97"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18"/>
              </w:rPr>
            </w:pPr>
            <w:r>
              <w:rPr>
                <w:rFonts w:ascii="Arial;Helvetica;Sans-Serif" w:hAnsi="Arial;Helvetica;Sans-Serif"/>
                <w:b w:val="false"/>
                <w:i w:val="false"/>
                <w:caps w:val="false"/>
                <w:smallCaps w:val="false"/>
                <w:color w:val="FFFFFF"/>
                <w:sz w:val="18"/>
              </w:rPr>
              <w:t>Three Months Ended,</w:t>
            </w:r>
          </w:p>
        </w:tc>
        <w:tc>
          <w:tcPr>
            <w:tcW w:w="1977" w:type="dxa"/>
            <w:gridSpan w:val="4"/>
            <w:tcBorders/>
            <w:shd w:fill="004C97"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18"/>
              </w:rPr>
            </w:pPr>
            <w:r>
              <w:rPr>
                <w:rFonts w:ascii="Arial;Helvetica;Sans-Serif" w:hAnsi="Arial;Helvetica;Sans-Serif"/>
                <w:b w:val="false"/>
                <w:i w:val="false"/>
                <w:caps w:val="false"/>
                <w:smallCaps w:val="false"/>
                <w:color w:val="FFFFFF"/>
                <w:sz w:val="18"/>
              </w:rPr>
              <w:t>Trailing Twelve Months,</w:t>
            </w:r>
          </w:p>
        </w:tc>
      </w:tr>
      <w:tr>
        <w:trPr/>
        <w:tc>
          <w:tcPr>
            <w:tcW w:w="6444" w:type="dxa"/>
            <w:gridSpan w:val="2"/>
            <w:tcBorders/>
            <w:shd w:fill="004C97" w:val="clear"/>
            <w:vAlign w:val="center"/>
          </w:tcPr>
          <w:p>
            <w:pPr>
              <w:pStyle w:val="TableContents"/>
              <w:bidi w:val="0"/>
              <w:spacing w:before="0" w:after="283"/>
              <w:jc w:val="left"/>
              <w:rPr>
                <w:caps w:val="false"/>
                <w:smallCaps w:val="false"/>
              </w:rPr>
            </w:pPr>
            <w:r>
              <w:rPr>
                <w:caps w:val="false"/>
                <w:smallCaps w:val="false"/>
              </w:rPr>
              <w:t> </w:t>
            </w:r>
          </w:p>
        </w:tc>
        <w:tc>
          <w:tcPr>
            <w:tcW w:w="961" w:type="dxa"/>
            <w:gridSpan w:val="2"/>
            <w:tcBorders/>
            <w:shd w:fill="004C97"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18"/>
              </w:rPr>
            </w:pPr>
            <w:r>
              <w:rPr>
                <w:rFonts w:ascii="Arial;Helvetica;Sans-Serif" w:hAnsi="Arial;Helvetica;Sans-Serif"/>
                <w:b w:val="false"/>
                <w:i w:val="false"/>
                <w:caps w:val="false"/>
                <w:smallCaps w:val="false"/>
                <w:color w:val="FFFFFF"/>
                <w:sz w:val="18"/>
              </w:rPr>
              <w:t>2Q26</w:t>
            </w:r>
          </w:p>
        </w:tc>
        <w:tc>
          <w:tcPr>
            <w:tcW w:w="823" w:type="dxa"/>
            <w:gridSpan w:val="2"/>
            <w:tcBorders/>
            <w:shd w:fill="004C97"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18"/>
              </w:rPr>
            </w:pPr>
            <w:r>
              <w:rPr>
                <w:rFonts w:ascii="Arial;Helvetica;Sans-Serif" w:hAnsi="Arial;Helvetica;Sans-Serif"/>
                <w:b w:val="false"/>
                <w:i w:val="false"/>
                <w:caps w:val="false"/>
                <w:smallCaps w:val="false"/>
                <w:color w:val="FFFFFF"/>
                <w:sz w:val="18"/>
              </w:rPr>
              <w:t>2Q25</w:t>
            </w:r>
          </w:p>
        </w:tc>
        <w:tc>
          <w:tcPr>
            <w:tcW w:w="1053" w:type="dxa"/>
            <w:gridSpan w:val="2"/>
            <w:tcBorders/>
            <w:shd w:fill="004C97" w:val="clear"/>
            <w:vAlign w:val="center"/>
          </w:tcPr>
          <w:p>
            <w:pPr>
              <w:pStyle w:val="TableContents"/>
              <w:bidi w:val="0"/>
              <w:spacing w:before="0" w:after="283"/>
              <w:jc w:val="center"/>
              <w:rPr>
                <w:rFonts w:ascii="Arial;Helvetica;Sans-Serif" w:hAnsi="Arial;Helvetica;Sans-Serif"/>
                <w:b w:val="false"/>
                <w:i w:val="false"/>
                <w:caps w:val="false"/>
                <w:smallCaps w:val="false"/>
                <w:color w:val="FFFFFF"/>
                <w:sz w:val="18"/>
              </w:rPr>
            </w:pPr>
            <w:r>
              <w:rPr>
                <w:rFonts w:ascii="Arial;Helvetica;Sans-Serif" w:hAnsi="Arial;Helvetica;Sans-Serif"/>
                <w:b w:val="false"/>
                <w:i w:val="false"/>
                <w:caps w:val="false"/>
                <w:smallCaps w:val="false"/>
                <w:color w:val="FFFFFF"/>
                <w:sz w:val="18"/>
              </w:rPr>
              <w:t>2Q26</w:t>
            </w:r>
          </w:p>
        </w:tc>
        <w:tc>
          <w:tcPr>
            <w:tcW w:w="924" w:type="dxa"/>
            <w:gridSpan w:val="2"/>
            <w:tcBorders/>
            <w:shd w:fill="004C97" w:val="clear"/>
            <w:vAlign w:val="center"/>
          </w:tcPr>
          <w:p>
            <w:pPr>
              <w:pStyle w:val="TableContents"/>
              <w:bidi w:val="0"/>
              <w:spacing w:before="0" w:after="283"/>
              <w:ind w:left="0" w:right="0" w:hanging="360"/>
              <w:jc w:val="center"/>
              <w:rPr>
                <w:rFonts w:ascii="Arial;Helvetica;Sans-Serif" w:hAnsi="Arial;Helvetica;Sans-Serif"/>
                <w:b w:val="false"/>
                <w:i w:val="false"/>
                <w:caps w:val="false"/>
                <w:smallCaps w:val="false"/>
                <w:color w:val="FFFFFF"/>
                <w:sz w:val="18"/>
              </w:rPr>
            </w:pPr>
            <w:r>
              <w:rPr>
                <w:rFonts w:ascii="Arial;Helvetica;Sans-Serif" w:hAnsi="Arial;Helvetica;Sans-Serif"/>
                <w:b w:val="false"/>
                <w:i w:val="false"/>
                <w:caps w:val="false"/>
                <w:smallCaps w:val="false"/>
                <w:color w:val="FFFFFF"/>
                <w:sz w:val="18"/>
              </w:rPr>
              <w:t>2Q25</w:t>
            </w:r>
          </w:p>
        </w:tc>
      </w:tr>
      <w:tr>
        <w:trPr/>
        <w:tc>
          <w:tcPr>
            <w:tcW w:w="6319" w:type="dxa"/>
            <w:tcBorders/>
            <w:vAlign w:val="center"/>
          </w:tcPr>
          <w:p>
            <w:pPr>
              <w:pStyle w:val="TableContents"/>
              <w:bidi w:val="0"/>
              <w:spacing w:before="0" w:after="283"/>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Income Taxes:</w:t>
            </w:r>
          </w:p>
        </w:tc>
        <w:tc>
          <w:tcPr>
            <w:tcW w:w="878"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29"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99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Total GAAP income taxes (benefit)</w:t>
            </w:r>
          </w:p>
        </w:tc>
        <w:tc>
          <w:tcPr>
            <w:tcW w:w="12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753"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66.0</w:t>
            </w:r>
          </w:p>
        </w:tc>
        <w:tc>
          <w:tcPr>
            <w:tcW w:w="20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621"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69.6</w:t>
            </w:r>
          </w:p>
        </w:tc>
        <w:tc>
          <w:tcPr>
            <w:tcW w:w="202"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883"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259.8</w:t>
            </w:r>
          </w:p>
        </w:tc>
        <w:tc>
          <w:tcPr>
            <w:tcW w:w="17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82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145.1</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Net realized capital gains (losses) tax adjustments</w:t>
            </w:r>
          </w:p>
        </w:tc>
        <w:tc>
          <w:tcPr>
            <w:tcW w:w="878"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3.6</w:t>
            </w:r>
          </w:p>
        </w:tc>
        <w:tc>
          <w:tcPr>
            <w:tcW w:w="829"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13.4</w:t>
            </w:r>
          </w:p>
        </w:tc>
        <w:tc>
          <w:tcPr>
            <w:tcW w:w="1085"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36.1</w:t>
            </w:r>
          </w:p>
        </w:tc>
        <w:tc>
          <w:tcPr>
            <w:tcW w:w="990"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49.9</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Exited business tax adjustments</w:t>
            </w:r>
          </w:p>
        </w:tc>
        <w:tc>
          <w:tcPr>
            <w:tcW w:w="878"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34.9</w:t>
            </w:r>
          </w:p>
        </w:tc>
        <w:tc>
          <w:tcPr>
            <w:tcW w:w="829"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7.0</w:t>
            </w:r>
          </w:p>
        </w:tc>
        <w:tc>
          <w:tcPr>
            <w:tcW w:w="1085"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67.1</w:t>
            </w:r>
          </w:p>
        </w:tc>
        <w:tc>
          <w:tcPr>
            <w:tcW w:w="990"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93.1</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Income taxes related to equity method investments and noncontrolling interest</w:t>
            </w:r>
          </w:p>
        </w:tc>
        <w:tc>
          <w:tcPr>
            <w:tcW w:w="878" w:type="dxa"/>
            <w:gridSpan w:val="2"/>
            <w:tcBorders>
              <w:bottom w:val="single" w:sz="8" w:space="0" w:color="000000"/>
            </w:tcBorders>
            <w:tcMar>
              <w:bottom w:w="40" w:type="dxa"/>
            </w:tcMar>
            <w:vAlign w:val="center"/>
          </w:tcPr>
          <w:p>
            <w:pPr>
              <w:pStyle w:val="TableContents"/>
              <w:bidi w:val="0"/>
              <w:spacing w:before="0" w:after="283"/>
              <w:jc w:val="right"/>
              <w:rPr>
                <w:caps w:val="false"/>
                <w:smallCaps w:val="false"/>
              </w:rPr>
            </w:pPr>
            <w:r>
              <w:rPr>
                <w:caps w:val="false"/>
                <w:smallCaps w:val="false"/>
              </w:rPr>
              <w:t xml:space="preserve">  </w:t>
            </w:r>
            <w:r>
              <w:rPr>
                <w:rFonts w:ascii="Arial;Helvetica;Sans-Serif" w:hAnsi="Arial;Helvetica;Sans-Serif"/>
                <w:b w:val="false"/>
                <w:i w:val="false"/>
                <w:caps w:val="false"/>
                <w:smallCaps w:val="false"/>
                <w:sz w:val="18"/>
              </w:rPr>
              <w:t>17.3</w:t>
            </w:r>
          </w:p>
        </w:tc>
        <w:tc>
          <w:tcPr>
            <w:tcW w:w="829" w:type="dxa"/>
            <w:gridSpan w:val="2"/>
            <w:tcBorders>
              <w:bottom w:val="single" w:sz="8" w:space="0" w:color="000000"/>
            </w:tcBorders>
            <w:tcMar>
              <w:bottom w:w="40" w:type="dxa"/>
            </w:tcMar>
            <w:vAlign w:val="center"/>
          </w:tcPr>
          <w:p>
            <w:pPr>
              <w:pStyle w:val="TableContents"/>
              <w:bidi w:val="0"/>
              <w:spacing w:before="0" w:after="283"/>
              <w:jc w:val="right"/>
              <w:rPr>
                <w:caps w:val="false"/>
                <w:smallCaps w:val="false"/>
              </w:rPr>
            </w:pPr>
            <w:r>
              <w:rPr>
                <w:caps w:val="false"/>
                <w:smallCaps w:val="false"/>
              </w:rPr>
              <w:t xml:space="preserve">  </w:t>
            </w:r>
            <w:r>
              <w:rPr>
                <w:rFonts w:ascii="Arial;Helvetica;Sans-Serif" w:hAnsi="Arial;Helvetica;Sans-Serif"/>
                <w:b w:val="false"/>
                <w:i w:val="false"/>
                <w:caps w:val="false"/>
                <w:smallCaps w:val="false"/>
                <w:sz w:val="18"/>
              </w:rPr>
              <w:t>15.6</w:t>
            </w:r>
          </w:p>
        </w:tc>
        <w:tc>
          <w:tcPr>
            <w:tcW w:w="1085" w:type="dxa"/>
            <w:gridSpan w:val="2"/>
            <w:tcBorders>
              <w:bottom w:val="single" w:sz="8" w:space="0" w:color="000000"/>
            </w:tcBorders>
            <w:tcMar>
              <w:bottom w:w="40" w:type="dxa"/>
            </w:tcMar>
            <w:vAlign w:val="center"/>
          </w:tcPr>
          <w:p>
            <w:pPr>
              <w:pStyle w:val="TableContents"/>
              <w:bidi w:val="0"/>
              <w:spacing w:before="0" w:after="283"/>
              <w:jc w:val="right"/>
              <w:rPr>
                <w:caps w:val="false"/>
                <w:smallCaps w:val="false"/>
              </w:rPr>
            </w:pPr>
            <w:r>
              <w:rPr>
                <w:caps w:val="false"/>
                <w:smallCaps w:val="false"/>
              </w:rPr>
              <w:t xml:space="preserve">  </w:t>
            </w:r>
            <w:r>
              <w:rPr>
                <w:rFonts w:ascii="Arial;Helvetica;Sans-Serif" w:hAnsi="Arial;Helvetica;Sans-Serif"/>
                <w:b w:val="false"/>
                <w:i w:val="false"/>
                <w:caps w:val="false"/>
                <w:smallCaps w:val="false"/>
                <w:sz w:val="18"/>
              </w:rPr>
              <w:t>77.3</w:t>
            </w:r>
          </w:p>
        </w:tc>
        <w:tc>
          <w:tcPr>
            <w:tcW w:w="990" w:type="dxa"/>
            <w:gridSpan w:val="2"/>
            <w:tcBorders>
              <w:bottom w:val="single" w:sz="8" w:space="0" w:color="000000"/>
            </w:tcBorders>
            <w:tcMar>
              <w:bottom w:w="40" w:type="dxa"/>
            </w:tcMar>
            <w:vAlign w:val="center"/>
          </w:tcPr>
          <w:p>
            <w:pPr>
              <w:pStyle w:val="TableContents"/>
              <w:bidi w:val="0"/>
              <w:spacing w:before="0" w:after="283"/>
              <w:jc w:val="right"/>
              <w:rPr>
                <w:caps w:val="false"/>
                <w:smallCaps w:val="false"/>
              </w:rPr>
            </w:pPr>
            <w:r>
              <w:rPr>
                <w:caps w:val="false"/>
                <w:smallCaps w:val="false"/>
              </w:rPr>
              <w:t xml:space="preserve">  </w:t>
            </w:r>
            <w:r>
              <w:rPr>
                <w:rFonts w:ascii="Arial;Helvetica;Sans-Serif" w:hAnsi="Arial;Helvetica;Sans-Serif"/>
                <w:b w:val="false"/>
                <w:i w:val="false"/>
                <w:caps w:val="false"/>
                <w:smallCaps w:val="false"/>
                <w:sz w:val="18"/>
              </w:rPr>
              <w:t>74.7</w:t>
            </w:r>
          </w:p>
        </w:tc>
        <w:tc>
          <w:tcPr>
            <w:tcW w:w="104" w:type="dxa"/>
            <w:tcBorders>
              <w:bottom w:val="single" w:sz="8" w:space="0" w:color="000000"/>
            </w:tcBorders>
            <w:tcMar>
              <w:bottom w:w="40" w:type="dxa"/>
            </w:tcMar>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Income taxes</w:t>
            </w:r>
          </w:p>
        </w:tc>
        <w:tc>
          <w:tcPr>
            <w:tcW w:w="12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753"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121.8</w:t>
            </w:r>
          </w:p>
        </w:tc>
        <w:tc>
          <w:tcPr>
            <w:tcW w:w="20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 </w:t>
            </w:r>
          </w:p>
        </w:tc>
        <w:tc>
          <w:tcPr>
            <w:tcW w:w="621"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105.6</w:t>
            </w:r>
          </w:p>
        </w:tc>
        <w:tc>
          <w:tcPr>
            <w:tcW w:w="1085"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440.3</w:t>
            </w:r>
          </w:p>
        </w:tc>
        <w:tc>
          <w:tcPr>
            <w:tcW w:w="17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82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362.8</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jc w:val="left"/>
              <w:rPr>
                <w:caps w:val="false"/>
                <w:smallCaps w:val="false"/>
              </w:rPr>
            </w:pPr>
            <w:r>
              <w:rPr>
                <w:caps w:val="false"/>
                <w:smallCaps w:val="false"/>
              </w:rPr>
              <w:t> </w:t>
            </w:r>
          </w:p>
        </w:tc>
        <w:tc>
          <w:tcPr>
            <w:tcW w:w="878"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29"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99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Net Realized Capital Gains (Losses):</w:t>
            </w:r>
          </w:p>
        </w:tc>
        <w:tc>
          <w:tcPr>
            <w:tcW w:w="878"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29"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99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GAAP net realized capital gains (losses)</w:t>
            </w:r>
          </w:p>
        </w:tc>
        <w:tc>
          <w:tcPr>
            <w:tcW w:w="12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753"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109.7</w:t>
            </w:r>
          </w:p>
        </w:tc>
        <w:tc>
          <w:tcPr>
            <w:tcW w:w="20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621"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5.4</w:t>
            </w:r>
          </w:p>
        </w:tc>
        <w:tc>
          <w:tcPr>
            <w:tcW w:w="1085"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127.0</w:t>
            </w:r>
          </w:p>
        </w:tc>
        <w:tc>
          <w:tcPr>
            <w:tcW w:w="17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82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(122.9)</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ind w:left="0" w:right="0" w:firstLine="180"/>
              <w:jc w:val="left"/>
              <w:rPr>
                <w:caps w:val="false"/>
                <w:smallCaps w:val="false"/>
              </w:rPr>
            </w:pPr>
            <w:r>
              <w:rPr>
                <w:caps w:val="false"/>
                <w:smallCaps w:val="false"/>
              </w:rPr>
              <w:t> </w:t>
            </w:r>
          </w:p>
        </w:tc>
        <w:tc>
          <w:tcPr>
            <w:tcW w:w="878" w:type="dxa"/>
            <w:gridSpan w:val="2"/>
            <w:tcBorders/>
            <w:vAlign w:val="center"/>
          </w:tcPr>
          <w:p>
            <w:pPr>
              <w:pStyle w:val="TableContents"/>
              <w:bidi w:val="0"/>
              <w:spacing w:before="0" w:after="283"/>
              <w:ind w:left="0" w:right="0" w:firstLine="180"/>
              <w:jc w:val="right"/>
              <w:rPr>
                <w:caps w:val="false"/>
                <w:smallCaps w:val="false"/>
              </w:rPr>
            </w:pPr>
            <w:r>
              <w:rPr>
                <w:caps w:val="false"/>
                <w:smallCaps w:val="false"/>
              </w:rPr>
              <w:t> </w:t>
            </w:r>
          </w:p>
        </w:tc>
        <w:tc>
          <w:tcPr>
            <w:tcW w:w="829" w:type="dxa"/>
            <w:gridSpan w:val="2"/>
            <w:tcBorders/>
            <w:vAlign w:val="center"/>
          </w:tcPr>
          <w:p>
            <w:pPr>
              <w:pStyle w:val="TableContents"/>
              <w:bidi w:val="0"/>
              <w:spacing w:before="0" w:after="283"/>
              <w:ind w:left="0" w:right="0" w:firstLine="180"/>
              <w:jc w:val="right"/>
              <w:rPr>
                <w:caps w:val="false"/>
                <w:smallCaps w:val="false"/>
              </w:rPr>
            </w:pPr>
            <w:r>
              <w:rPr>
                <w:caps w:val="false"/>
                <w:smallCaps w:val="false"/>
              </w:rPr>
              <w:t> </w:t>
            </w:r>
          </w:p>
        </w:tc>
        <w:tc>
          <w:tcPr>
            <w:tcW w:w="1085" w:type="dxa"/>
            <w:gridSpan w:val="2"/>
            <w:tcBorders/>
            <w:vAlign w:val="center"/>
          </w:tcPr>
          <w:p>
            <w:pPr>
              <w:pStyle w:val="TableContents"/>
              <w:bidi w:val="0"/>
              <w:spacing w:before="0" w:after="283"/>
              <w:ind w:left="0" w:right="0" w:firstLine="180"/>
              <w:jc w:val="right"/>
              <w:rPr>
                <w:caps w:val="false"/>
                <w:smallCaps w:val="false"/>
              </w:rPr>
            </w:pPr>
            <w:r>
              <w:rPr>
                <w:caps w:val="false"/>
                <w:smallCaps w:val="false"/>
              </w:rPr>
              <w:t> </w:t>
            </w:r>
          </w:p>
        </w:tc>
        <w:tc>
          <w:tcPr>
            <w:tcW w:w="99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ind w:left="0" w:right="0" w:firstLine="18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Market value adjustments to fee revenues</w:t>
            </w:r>
          </w:p>
        </w:tc>
        <w:tc>
          <w:tcPr>
            <w:tcW w:w="878"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829" w:type="dxa"/>
            <w:gridSpan w:val="2"/>
            <w:tcBorders/>
            <w:vAlign w:val="center"/>
          </w:tcPr>
          <w:p>
            <w:pPr>
              <w:pStyle w:val="TableContents"/>
              <w:bidi w:val="0"/>
              <w:spacing w:before="0" w:after="283"/>
              <w:ind w:left="0" w:right="0" w:firstLine="180"/>
              <w:jc w:val="right"/>
              <w:rPr>
                <w:caps w:val="false"/>
                <w:smallCaps w:val="false"/>
              </w:rPr>
            </w:pPr>
            <w:r>
              <w:rPr>
                <w:caps w:val="false"/>
                <w:smallCaps w:val="false"/>
              </w:rPr>
              <w:t>    </w:t>
            </w:r>
            <w:r>
              <w:rPr>
                <w:rFonts w:ascii="Arial;Helvetica;Sans-Serif" w:hAnsi="Arial;Helvetica;Sans-Serif"/>
                <w:b w:val="false"/>
                <w:i w:val="false"/>
                <w:caps w:val="false"/>
                <w:smallCaps w:val="false"/>
                <w:sz w:val="18"/>
              </w:rPr>
              <w:t>-</w:t>
            </w:r>
          </w:p>
        </w:tc>
        <w:tc>
          <w:tcPr>
            <w:tcW w:w="1085"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0.1</w:t>
            </w:r>
          </w:p>
        </w:tc>
        <w:tc>
          <w:tcPr>
            <w:tcW w:w="990"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(0.1)</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ind w:left="0" w:right="0" w:firstLine="18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Net realized capital gains (losses) related to equity method investments</w:t>
            </w:r>
          </w:p>
        </w:tc>
        <w:tc>
          <w:tcPr>
            <w:tcW w:w="878"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(1.6) </w:t>
            </w:r>
          </w:p>
        </w:tc>
        <w:tc>
          <w:tcPr>
            <w:tcW w:w="829"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(0.2) </w:t>
            </w:r>
          </w:p>
        </w:tc>
        <w:tc>
          <w:tcPr>
            <w:tcW w:w="1085"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0.2</w:t>
            </w:r>
          </w:p>
        </w:tc>
        <w:tc>
          <w:tcPr>
            <w:tcW w:w="990"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1.0</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ind w:left="0" w:right="0" w:firstLine="18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Derivative and hedging-related revenue adjustments</w:t>
            </w:r>
          </w:p>
        </w:tc>
        <w:tc>
          <w:tcPr>
            <w:tcW w:w="878"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(66.1)</w:t>
            </w:r>
          </w:p>
        </w:tc>
        <w:tc>
          <w:tcPr>
            <w:tcW w:w="829"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(37.3)</w:t>
            </w:r>
          </w:p>
        </w:tc>
        <w:tc>
          <w:tcPr>
            <w:tcW w:w="1085"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(144.4) </w:t>
            </w:r>
          </w:p>
        </w:tc>
        <w:tc>
          <w:tcPr>
            <w:tcW w:w="990"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(39.6) </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ind w:left="0" w:right="0" w:firstLine="18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Certain variable annuity fees</w:t>
            </w:r>
          </w:p>
        </w:tc>
        <w:tc>
          <w:tcPr>
            <w:tcW w:w="878"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17.3</w:t>
            </w:r>
          </w:p>
        </w:tc>
        <w:tc>
          <w:tcPr>
            <w:tcW w:w="829"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16.6</w:t>
            </w:r>
          </w:p>
        </w:tc>
        <w:tc>
          <w:tcPr>
            <w:tcW w:w="1085"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68.8</w:t>
            </w:r>
          </w:p>
        </w:tc>
        <w:tc>
          <w:tcPr>
            <w:tcW w:w="990"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68.7</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ind w:left="0" w:right="0" w:firstLine="18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Certain real estate-related depreciation and amortization</w:t>
            </w:r>
          </w:p>
        </w:tc>
        <w:tc>
          <w:tcPr>
            <w:tcW w:w="878"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(16.1)</w:t>
            </w:r>
          </w:p>
        </w:tc>
        <w:tc>
          <w:tcPr>
            <w:tcW w:w="829"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1085"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(31.0)</w:t>
            </w:r>
          </w:p>
        </w:tc>
        <w:tc>
          <w:tcPr>
            <w:tcW w:w="990"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ind w:left="0" w:right="0" w:firstLine="18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Sponsored investment funds and other adjustments</w:t>
            </w:r>
          </w:p>
        </w:tc>
        <w:tc>
          <w:tcPr>
            <w:tcW w:w="878"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13.1 </w:t>
            </w:r>
          </w:p>
        </w:tc>
        <w:tc>
          <w:tcPr>
            <w:tcW w:w="829"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8.2 </w:t>
            </w:r>
          </w:p>
        </w:tc>
        <w:tc>
          <w:tcPr>
            <w:tcW w:w="1085"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48.8</w:t>
            </w:r>
          </w:p>
        </w:tc>
        <w:tc>
          <w:tcPr>
            <w:tcW w:w="990"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32.4</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ind w:left="0" w:right="0" w:firstLine="18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Capital gains distributed – operating expenses</w:t>
            </w:r>
          </w:p>
        </w:tc>
        <w:tc>
          <w:tcPr>
            <w:tcW w:w="878"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(31.5)</w:t>
            </w:r>
          </w:p>
        </w:tc>
        <w:tc>
          <w:tcPr>
            <w:tcW w:w="829"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(8.0)</w:t>
            </w:r>
          </w:p>
        </w:tc>
        <w:tc>
          <w:tcPr>
            <w:tcW w:w="1085"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(62.9) </w:t>
            </w:r>
          </w:p>
        </w:tc>
        <w:tc>
          <w:tcPr>
            <w:tcW w:w="990"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(37.7) </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ind w:left="0" w:right="0" w:firstLine="18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Amortization of actuarial balances</w:t>
            </w:r>
          </w:p>
        </w:tc>
        <w:tc>
          <w:tcPr>
            <w:tcW w:w="878"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(6.4)</w:t>
            </w:r>
          </w:p>
        </w:tc>
        <w:tc>
          <w:tcPr>
            <w:tcW w:w="829"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(3.1)</w:t>
            </w:r>
          </w:p>
        </w:tc>
        <w:tc>
          <w:tcPr>
            <w:tcW w:w="1085"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(21.8)</w:t>
            </w:r>
          </w:p>
        </w:tc>
        <w:tc>
          <w:tcPr>
            <w:tcW w:w="990"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(6.5)</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ind w:left="0" w:right="0" w:firstLine="18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Derivative and hedging-related expense adjustments</w:t>
            </w:r>
          </w:p>
        </w:tc>
        <w:tc>
          <w:tcPr>
            <w:tcW w:w="878"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2.8</w:t>
            </w:r>
          </w:p>
        </w:tc>
        <w:tc>
          <w:tcPr>
            <w:tcW w:w="829"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4.4</w:t>
            </w:r>
          </w:p>
        </w:tc>
        <w:tc>
          <w:tcPr>
            <w:tcW w:w="1085"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(1.1)</w:t>
            </w:r>
          </w:p>
        </w:tc>
        <w:tc>
          <w:tcPr>
            <w:tcW w:w="990"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1.6</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ind w:left="0" w:right="0" w:firstLine="18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Market value adjustments of embedded derivatives</w:t>
            </w:r>
          </w:p>
        </w:tc>
        <w:tc>
          <w:tcPr>
            <w:tcW w:w="878"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6.7</w:t>
            </w:r>
          </w:p>
        </w:tc>
        <w:tc>
          <w:tcPr>
            <w:tcW w:w="829"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4.3</w:t>
            </w:r>
          </w:p>
        </w:tc>
        <w:tc>
          <w:tcPr>
            <w:tcW w:w="1085"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(19.7)</w:t>
            </w:r>
          </w:p>
        </w:tc>
        <w:tc>
          <w:tcPr>
            <w:tcW w:w="990"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(32.3)</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ind w:left="0" w:right="0" w:firstLine="18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Market value adjustments of market risk benefits</w:t>
            </w:r>
          </w:p>
        </w:tc>
        <w:tc>
          <w:tcPr>
            <w:tcW w:w="878"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4.6</w:t>
            </w:r>
          </w:p>
        </w:tc>
        <w:tc>
          <w:tcPr>
            <w:tcW w:w="829"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(23.5)</w:t>
            </w:r>
          </w:p>
        </w:tc>
        <w:tc>
          <w:tcPr>
            <w:tcW w:w="1085"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(75.9)</w:t>
            </w:r>
          </w:p>
        </w:tc>
        <w:tc>
          <w:tcPr>
            <w:tcW w:w="990"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(106.5)</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ind w:left="0" w:right="0" w:firstLine="18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Capital gains distributed – cost of interest credited</w:t>
            </w:r>
          </w:p>
        </w:tc>
        <w:tc>
          <w:tcPr>
            <w:tcW w:w="878"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(21.8)</w:t>
            </w:r>
          </w:p>
        </w:tc>
        <w:tc>
          <w:tcPr>
            <w:tcW w:w="829"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(11.5)</w:t>
            </w:r>
          </w:p>
        </w:tc>
        <w:tc>
          <w:tcPr>
            <w:tcW w:w="1085"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(38.6) </w:t>
            </w:r>
          </w:p>
        </w:tc>
        <w:tc>
          <w:tcPr>
            <w:tcW w:w="990"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(21.4) </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Net realized capital gains (losses) tax adjustments</w:t>
            </w:r>
          </w:p>
        </w:tc>
        <w:tc>
          <w:tcPr>
            <w:tcW w:w="878"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3.6 </w:t>
            </w:r>
          </w:p>
        </w:tc>
        <w:tc>
          <w:tcPr>
            <w:tcW w:w="829"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 xml:space="preserve">13.4 </w:t>
            </w:r>
          </w:p>
        </w:tc>
        <w:tc>
          <w:tcPr>
            <w:tcW w:w="1085" w:type="dxa"/>
            <w:gridSpan w:val="2"/>
            <w:tcBorders/>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36.1</w:t>
            </w:r>
          </w:p>
        </w:tc>
        <w:tc>
          <w:tcPr>
            <w:tcW w:w="990"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49.9</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bottom w:val="single" w:sz="8" w:space="0" w:color="000000"/>
            </w:tcBorders>
            <w:tcMar>
              <w:bottom w:w="40" w:type="dxa"/>
            </w:tcMar>
            <w:vAlign w:val="center"/>
          </w:tcPr>
          <w:p>
            <w:pPr>
              <w:pStyle w:val="TableContents"/>
              <w:bidi w:val="0"/>
              <w:spacing w:before="0" w:after="283"/>
              <w:ind w:left="0" w:right="0" w:firstLine="18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Net realized capital gains (losses) attributable to noncontrolling interest, after-tax</w:t>
            </w:r>
          </w:p>
        </w:tc>
        <w:tc>
          <w:tcPr>
            <w:tcW w:w="878" w:type="dxa"/>
            <w:gridSpan w:val="2"/>
            <w:tcBorders>
              <w:bottom w:val="single" w:sz="8" w:space="0" w:color="000000"/>
            </w:tcBorders>
            <w:tcMar>
              <w:bottom w:w="40" w:type="dxa"/>
            </w:tcMar>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(26.3)</w:t>
            </w:r>
          </w:p>
        </w:tc>
        <w:tc>
          <w:tcPr>
            <w:tcW w:w="829" w:type="dxa"/>
            <w:gridSpan w:val="2"/>
            <w:tcBorders>
              <w:bottom w:val="single" w:sz="8" w:space="0" w:color="000000"/>
            </w:tcBorders>
            <w:tcMar>
              <w:bottom w:w="40" w:type="dxa"/>
            </w:tcMar>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(25.7)</w:t>
            </w:r>
          </w:p>
        </w:tc>
        <w:tc>
          <w:tcPr>
            <w:tcW w:w="1085" w:type="dxa"/>
            <w:gridSpan w:val="2"/>
            <w:tcBorders>
              <w:bottom w:val="single" w:sz="8" w:space="0" w:color="000000"/>
            </w:tcBorders>
            <w:tcMar>
              <w:bottom w:w="40" w:type="dxa"/>
            </w:tcMar>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(39.4)</w:t>
            </w:r>
          </w:p>
        </w:tc>
        <w:tc>
          <w:tcPr>
            <w:tcW w:w="990" w:type="dxa"/>
            <w:gridSpan w:val="2"/>
            <w:tcBorders>
              <w:bottom w:val="single" w:sz="8" w:space="0" w:color="000000"/>
            </w:tcBorders>
            <w:tcMar>
              <w:bottom w:w="40"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(46.2)</w:t>
            </w:r>
          </w:p>
        </w:tc>
        <w:tc>
          <w:tcPr>
            <w:tcW w:w="104" w:type="dxa"/>
            <w:tcBorders>
              <w:bottom w:val="single" w:sz="8" w:space="0" w:color="000000"/>
            </w:tcBorders>
            <w:tcMar>
              <w:bottom w:w="40" w:type="dxa"/>
            </w:tcMar>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bottom w:val="single" w:sz="8" w:space="0" w:color="000000"/>
            </w:tcBorders>
            <w:tcMar>
              <w:bottom w:w="40" w:type="dxa"/>
            </w:tcMar>
            <w:vAlign w:val="center"/>
          </w:tcPr>
          <w:p>
            <w:pPr>
              <w:pStyle w:val="TableContents"/>
              <w:bidi w:val="0"/>
              <w:spacing w:before="0" w:after="283"/>
              <w:ind w:left="0" w:right="0" w:firstLine="180"/>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Total net realized capital gains (losses) after-tax adjustments</w:t>
            </w:r>
          </w:p>
        </w:tc>
        <w:tc>
          <w:tcPr>
            <w:tcW w:w="878" w:type="dxa"/>
            <w:gridSpan w:val="2"/>
            <w:tcBorders>
              <w:bottom w:val="single" w:sz="8" w:space="0" w:color="000000"/>
            </w:tcBorders>
            <w:tcMar>
              <w:bottom w:w="40" w:type="dxa"/>
            </w:tcMar>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(121.7)</w:t>
            </w:r>
          </w:p>
        </w:tc>
        <w:tc>
          <w:tcPr>
            <w:tcW w:w="829" w:type="dxa"/>
            <w:gridSpan w:val="2"/>
            <w:tcBorders>
              <w:bottom w:val="single" w:sz="8" w:space="0" w:color="000000"/>
            </w:tcBorders>
            <w:tcMar>
              <w:bottom w:w="40" w:type="dxa"/>
            </w:tcMar>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(62.4)</w:t>
            </w:r>
          </w:p>
        </w:tc>
        <w:tc>
          <w:tcPr>
            <w:tcW w:w="1085" w:type="dxa"/>
            <w:gridSpan w:val="2"/>
            <w:tcBorders>
              <w:bottom w:val="single" w:sz="8" w:space="0" w:color="000000"/>
            </w:tcBorders>
            <w:tcMar>
              <w:bottom w:w="40" w:type="dxa"/>
            </w:tcMar>
            <w:vAlign w:val="center"/>
          </w:tcPr>
          <w:p>
            <w:pPr>
              <w:pStyle w:val="TableContents"/>
              <w:bidi w:val="0"/>
              <w:spacing w:before="0" w:after="283"/>
              <w:ind w:left="0" w:right="0" w:firstLine="180"/>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(280.8)</w:t>
            </w:r>
          </w:p>
        </w:tc>
        <w:tc>
          <w:tcPr>
            <w:tcW w:w="990" w:type="dxa"/>
            <w:gridSpan w:val="2"/>
            <w:tcBorders>
              <w:bottom w:val="single" w:sz="8" w:space="0" w:color="000000"/>
            </w:tcBorders>
            <w:tcMar>
              <w:bottom w:w="40"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(136.7)</w:t>
            </w:r>
          </w:p>
        </w:tc>
        <w:tc>
          <w:tcPr>
            <w:tcW w:w="104" w:type="dxa"/>
            <w:tcBorders>
              <w:bottom w:val="single" w:sz="8" w:space="0" w:color="000000"/>
            </w:tcBorders>
            <w:tcMar>
              <w:bottom w:w="40" w:type="dxa"/>
            </w:tcMar>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ind w:left="0" w:right="0" w:firstLine="180"/>
              <w:jc w:val="left"/>
              <w:rPr>
                <w:caps w:val="false"/>
                <w:smallCaps w:val="false"/>
              </w:rPr>
            </w:pPr>
            <w:r>
              <w:rPr>
                <w:caps w:val="false"/>
                <w:smallCaps w:val="false"/>
              </w:rPr>
              <w:t> </w:t>
            </w:r>
          </w:p>
        </w:tc>
        <w:tc>
          <w:tcPr>
            <w:tcW w:w="878" w:type="dxa"/>
            <w:gridSpan w:val="2"/>
            <w:tcBorders/>
            <w:vAlign w:val="center"/>
          </w:tcPr>
          <w:p>
            <w:pPr>
              <w:pStyle w:val="TableContents"/>
              <w:bidi w:val="0"/>
              <w:spacing w:before="0" w:after="283"/>
              <w:ind w:left="0" w:right="0" w:firstLine="180"/>
              <w:jc w:val="right"/>
              <w:rPr>
                <w:caps w:val="false"/>
                <w:smallCaps w:val="false"/>
              </w:rPr>
            </w:pPr>
            <w:r>
              <w:rPr>
                <w:caps w:val="false"/>
                <w:smallCaps w:val="false"/>
              </w:rPr>
              <w:t> </w:t>
            </w:r>
          </w:p>
        </w:tc>
        <w:tc>
          <w:tcPr>
            <w:tcW w:w="829" w:type="dxa"/>
            <w:gridSpan w:val="2"/>
            <w:tcBorders/>
            <w:vAlign w:val="center"/>
          </w:tcPr>
          <w:p>
            <w:pPr>
              <w:pStyle w:val="TableContents"/>
              <w:bidi w:val="0"/>
              <w:spacing w:before="0" w:after="283"/>
              <w:ind w:left="0" w:right="0" w:firstLine="180"/>
              <w:jc w:val="right"/>
              <w:rPr>
                <w:caps w:val="false"/>
                <w:smallCaps w:val="false"/>
              </w:rPr>
            </w:pPr>
            <w:r>
              <w:rPr>
                <w:caps w:val="false"/>
                <w:smallCaps w:val="false"/>
              </w:rPr>
              <w:t> </w:t>
            </w:r>
          </w:p>
        </w:tc>
        <w:tc>
          <w:tcPr>
            <w:tcW w:w="1085" w:type="dxa"/>
            <w:gridSpan w:val="2"/>
            <w:tcBorders/>
            <w:vAlign w:val="center"/>
          </w:tcPr>
          <w:p>
            <w:pPr>
              <w:pStyle w:val="TableContents"/>
              <w:bidi w:val="0"/>
              <w:spacing w:before="0" w:after="283"/>
              <w:ind w:left="0" w:right="0" w:firstLine="180"/>
              <w:jc w:val="right"/>
              <w:rPr>
                <w:caps w:val="false"/>
                <w:smallCaps w:val="false"/>
              </w:rPr>
            </w:pPr>
            <w:r>
              <w:rPr>
                <w:caps w:val="false"/>
                <w:smallCaps w:val="false"/>
              </w:rPr>
              <w:t> </w:t>
            </w:r>
          </w:p>
        </w:tc>
        <w:tc>
          <w:tcPr>
            <w:tcW w:w="99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Net realized capital gains (losses), as adjusted</w:t>
            </w:r>
          </w:p>
        </w:tc>
        <w:tc>
          <w:tcPr>
            <w:tcW w:w="12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753"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(12.0)</w:t>
            </w:r>
          </w:p>
        </w:tc>
        <w:tc>
          <w:tcPr>
            <w:tcW w:w="20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621"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(57.0)</w:t>
            </w:r>
          </w:p>
        </w:tc>
        <w:tc>
          <w:tcPr>
            <w:tcW w:w="202"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883"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(153.8)</w:t>
            </w:r>
          </w:p>
        </w:tc>
        <w:tc>
          <w:tcPr>
            <w:tcW w:w="17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82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(259.6)</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jc w:val="left"/>
              <w:rPr>
                <w:caps w:val="false"/>
                <w:smallCaps w:val="false"/>
              </w:rPr>
            </w:pPr>
            <w:r>
              <w:rPr>
                <w:caps w:val="false"/>
                <w:smallCaps w:val="false"/>
              </w:rPr>
              <w:t> </w:t>
            </w:r>
          </w:p>
        </w:tc>
        <w:tc>
          <w:tcPr>
            <w:tcW w:w="878"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29"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99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jc w:val="left"/>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Income (Loss) from Exited Business:</w:t>
            </w:r>
          </w:p>
        </w:tc>
        <w:tc>
          <w:tcPr>
            <w:tcW w:w="878"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29"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99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Pre-tax impacts of exited business:</w:t>
            </w:r>
          </w:p>
        </w:tc>
        <w:tc>
          <w:tcPr>
            <w:tcW w:w="878"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829"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1085"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990" w:type="dxa"/>
            <w:gridSpan w:val="2"/>
            <w:tcBorders/>
            <w:vAlign w:val="center"/>
          </w:tcPr>
          <w:p>
            <w:pPr>
              <w:pStyle w:val="TableContents"/>
              <w:bidi w:val="0"/>
              <w:spacing w:before="0" w:after="283"/>
              <w:jc w:val="right"/>
              <w:rPr>
                <w:caps w:val="false"/>
                <w:smallCaps w:val="false"/>
              </w:rPr>
            </w:pPr>
            <w:r>
              <w:rPr>
                <w:caps w:val="false"/>
                <w:smallCaps w:val="false"/>
              </w:rPr>
              <w:t> </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Amortization of reinsurance gains (losses)</w:t>
            </w:r>
          </w:p>
        </w:tc>
        <w:tc>
          <w:tcPr>
            <w:tcW w:w="12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753"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(18.5)</w:t>
            </w:r>
          </w:p>
        </w:tc>
        <w:tc>
          <w:tcPr>
            <w:tcW w:w="20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621"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(20.4)</w:t>
            </w:r>
          </w:p>
        </w:tc>
        <w:tc>
          <w:tcPr>
            <w:tcW w:w="202"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883"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(75.5)</w:t>
            </w:r>
          </w:p>
        </w:tc>
        <w:tc>
          <w:tcPr>
            <w:tcW w:w="17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82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(208.8)</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Other impacts of reinsured business</w:t>
            </w:r>
          </w:p>
        </w:tc>
        <w:tc>
          <w:tcPr>
            <w:tcW w:w="878"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(35.5)</w:t>
            </w:r>
          </w:p>
        </w:tc>
        <w:tc>
          <w:tcPr>
            <w:tcW w:w="829"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(36.7)</w:t>
            </w:r>
          </w:p>
        </w:tc>
        <w:tc>
          <w:tcPr>
            <w:tcW w:w="1085"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(137.9)</w:t>
            </w:r>
          </w:p>
        </w:tc>
        <w:tc>
          <w:tcPr>
            <w:tcW w:w="990"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(129.9)</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Net realized capital gains (losses) on funds withheld assets</w:t>
            </w:r>
          </w:p>
        </w:tc>
        <w:tc>
          <w:tcPr>
            <w:tcW w:w="878"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(8.1)</w:t>
            </w:r>
          </w:p>
        </w:tc>
        <w:tc>
          <w:tcPr>
            <w:tcW w:w="829"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3.7</w:t>
            </w:r>
          </w:p>
        </w:tc>
        <w:tc>
          <w:tcPr>
            <w:tcW w:w="1085"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12.8</w:t>
            </w:r>
          </w:p>
        </w:tc>
        <w:tc>
          <w:tcPr>
            <w:tcW w:w="990"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52.9</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Change in fair value of funds withheld embedded derivative</w:t>
            </w:r>
          </w:p>
        </w:tc>
        <w:tc>
          <w:tcPr>
            <w:tcW w:w="878"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(104.4)</w:t>
            </w:r>
          </w:p>
        </w:tc>
        <w:tc>
          <w:tcPr>
            <w:tcW w:w="829"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20.3</w:t>
            </w:r>
          </w:p>
        </w:tc>
        <w:tc>
          <w:tcPr>
            <w:tcW w:w="1085"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(118.7)</w:t>
            </w:r>
          </w:p>
        </w:tc>
        <w:tc>
          <w:tcPr>
            <w:tcW w:w="990" w:type="dxa"/>
            <w:gridSpan w:val="2"/>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(171.9)</w:t>
            </w:r>
          </w:p>
        </w:tc>
        <w:tc>
          <w:tcPr>
            <w:tcW w:w="104" w:type="dxa"/>
            <w:tcBorders/>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bottom w:val="single" w:sz="8" w:space="0" w:color="000000"/>
            </w:tcBorders>
            <w:tcMar>
              <w:bottom w:w="40" w:type="dxa"/>
            </w:tcMar>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Tax impacts of exited business</w:t>
            </w:r>
          </w:p>
        </w:tc>
        <w:tc>
          <w:tcPr>
            <w:tcW w:w="878" w:type="dxa"/>
            <w:gridSpan w:val="2"/>
            <w:tcBorders>
              <w:bottom w:val="single" w:sz="8" w:space="0" w:color="000000"/>
            </w:tcBorders>
            <w:tcMar>
              <w:bottom w:w="40"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34.9</w:t>
            </w:r>
          </w:p>
        </w:tc>
        <w:tc>
          <w:tcPr>
            <w:tcW w:w="829" w:type="dxa"/>
            <w:gridSpan w:val="2"/>
            <w:tcBorders>
              <w:bottom w:val="single" w:sz="8" w:space="0" w:color="000000"/>
            </w:tcBorders>
            <w:tcMar>
              <w:bottom w:w="40"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7.0</w:t>
            </w:r>
          </w:p>
        </w:tc>
        <w:tc>
          <w:tcPr>
            <w:tcW w:w="1085" w:type="dxa"/>
            <w:gridSpan w:val="2"/>
            <w:tcBorders>
              <w:bottom w:val="single" w:sz="8" w:space="0" w:color="000000"/>
            </w:tcBorders>
            <w:tcMar>
              <w:bottom w:w="40"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67.1</w:t>
            </w:r>
          </w:p>
        </w:tc>
        <w:tc>
          <w:tcPr>
            <w:tcW w:w="990" w:type="dxa"/>
            <w:gridSpan w:val="2"/>
            <w:tcBorders>
              <w:bottom w:val="single" w:sz="8" w:space="0" w:color="000000"/>
            </w:tcBorders>
            <w:tcMar>
              <w:bottom w:w="40" w:type="dxa"/>
            </w:tcMar>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93.1</w:t>
            </w:r>
          </w:p>
        </w:tc>
        <w:tc>
          <w:tcPr>
            <w:tcW w:w="104" w:type="dxa"/>
            <w:tcBorders>
              <w:bottom w:val="single" w:sz="8" w:space="0" w:color="000000"/>
            </w:tcBorders>
            <w:tcMar>
              <w:bottom w:w="40" w:type="dxa"/>
            </w:tcMar>
            <w:vAlign w:val="center"/>
          </w:tcPr>
          <w:p>
            <w:pPr>
              <w:pStyle w:val="TableContents"/>
              <w:bidi w:val="0"/>
              <w:spacing w:before="0" w:after="283"/>
              <w:ind w:left="0" w:right="0" w:hanging="360"/>
              <w:jc w:val="left"/>
              <w:rPr>
                <w:caps w:val="false"/>
                <w:smallCaps w:val="false"/>
              </w:rPr>
            </w:pPr>
            <w:r>
              <w:rPr>
                <w:caps w:val="false"/>
                <w:smallCaps w:val="false"/>
              </w:rPr>
              <w:t> </w:t>
            </w:r>
          </w:p>
        </w:tc>
      </w:tr>
      <w:tr>
        <w:trPr/>
        <w:tc>
          <w:tcPr>
            <w:tcW w:w="6319" w:type="dxa"/>
            <w:tcBorders/>
            <w:vAlign w:val="center"/>
          </w:tcPr>
          <w:p>
            <w:pPr>
              <w:pStyle w:val="TableContents"/>
              <w:bidi w:val="0"/>
              <w:spacing w:before="0" w:after="283"/>
              <w:jc w:val="lef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Total income (loss) from exited business</w:t>
            </w:r>
          </w:p>
        </w:tc>
        <w:tc>
          <w:tcPr>
            <w:tcW w:w="125"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753"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(131.6)</w:t>
            </w:r>
          </w:p>
        </w:tc>
        <w:tc>
          <w:tcPr>
            <w:tcW w:w="208"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621"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(26.1)</w:t>
            </w:r>
          </w:p>
        </w:tc>
        <w:tc>
          <w:tcPr>
            <w:tcW w:w="202"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883"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(252.2)</w:t>
            </w:r>
          </w:p>
        </w:tc>
        <w:tc>
          <w:tcPr>
            <w:tcW w:w="17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w:t>
            </w:r>
          </w:p>
        </w:tc>
        <w:tc>
          <w:tcPr>
            <w:tcW w:w="820" w:type="dxa"/>
            <w:tcBorders/>
            <w:vAlign w:val="center"/>
          </w:tcPr>
          <w:p>
            <w:pPr>
              <w:pStyle w:val="TableContents"/>
              <w:bidi w:val="0"/>
              <w:spacing w:before="0" w:after="283"/>
              <w:jc w:val="right"/>
              <w:rPr>
                <w:rFonts w:ascii="Arial;Helvetica;Sans-Serif" w:hAnsi="Arial;Helvetica;Sans-Serif"/>
                <w:b w:val="false"/>
                <w:i w:val="false"/>
                <w:caps w:val="false"/>
                <w:smallCaps w:val="false"/>
                <w:sz w:val="18"/>
              </w:rPr>
            </w:pPr>
            <w:r>
              <w:rPr>
                <w:rFonts w:ascii="Arial;Helvetica;Sans-Serif" w:hAnsi="Arial;Helvetica;Sans-Serif"/>
                <w:b w:val="false"/>
                <w:i w:val="false"/>
                <w:caps w:val="false"/>
                <w:smallCaps w:val="false"/>
                <w:sz w:val="18"/>
              </w:rPr>
              <w:t>(364.6)</w:t>
            </w:r>
          </w:p>
        </w:tc>
        <w:tc>
          <w:tcPr>
            <w:tcW w:w="104"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Principal Financial Group, Inc.</w:t>
      </w:r>
    </w:p>
    <w:p>
      <w:pPr>
        <w:pStyle w:val="TextBody"/>
        <w:bidi w:val="0"/>
        <w:spacing w:before="0" w:after="0"/>
        <w:ind w:left="0" w:right="0" w:hanging="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Reconciliation of U.S. GAAP to Non-GAAP Financial Measures</w:t>
      </w:r>
    </w:p>
    <w:p>
      <w:pPr>
        <w:pStyle w:val="TextBody"/>
        <w:bidi w:val="0"/>
        <w:spacing w:before="0" w:after="0"/>
        <w:ind w:left="0" w:right="0" w:hanging="0"/>
        <w:jc w:val="center"/>
        <w:rPr>
          <w:rFonts w:ascii="Arial;Helvetica;Sans-Serif" w:hAnsi="Arial;Helvetica;Sans-Serif"/>
          <w:b/>
          <w:i w:val="false"/>
          <w:caps w:val="false"/>
          <w:smallCaps w:val="false"/>
          <w:sz w:val="18"/>
        </w:rPr>
      </w:pPr>
      <w:r>
        <w:rPr>
          <w:rFonts w:ascii="Arial;Helvetica;Sans-Serif" w:hAnsi="Arial;Helvetica;Sans-Serif"/>
          <w:b/>
          <w:i w:val="false"/>
          <w:caps w:val="false"/>
          <w:smallCaps w:val="false"/>
          <w:sz w:val="18"/>
        </w:rPr>
        <w:t>(in millions)</w:t>
      </w:r>
    </w:p>
    <w:p>
      <w:pPr>
        <w:pStyle w:val="TextBody"/>
        <w:bidi w:val="0"/>
        <w:spacing w:before="0" w:after="0"/>
        <w:jc w:val="left"/>
        <w:rPr>
          <w:caps w:val="false"/>
          <w:smallCaps w:val="false"/>
        </w:rPr>
      </w:pPr>
      <w:r>
        <w:rPr>
          <w:caps w:val="false"/>
          <w:smallCaps w:val="false"/>
        </w:rPr>
        <w:t> </w:t>
      </w:r>
    </w:p>
    <w:tbl>
      <w:tblPr>
        <w:tblW w:w="7734" w:type="dxa"/>
        <w:jc w:val="left"/>
        <w:tblInd w:w="0" w:type="dxa"/>
        <w:tblLayout w:type="fixed"/>
        <w:tblCellMar>
          <w:top w:w="0" w:type="dxa"/>
          <w:left w:w="0" w:type="dxa"/>
          <w:bottom w:w="0" w:type="dxa"/>
          <w:right w:w="0" w:type="dxa"/>
        </w:tblCellMar>
      </w:tblPr>
      <w:tblGrid>
        <w:gridCol w:w="3995"/>
        <w:gridCol w:w="145"/>
        <w:gridCol w:w="776"/>
        <w:gridCol w:w="145"/>
        <w:gridCol w:w="706"/>
        <w:gridCol w:w="139"/>
        <w:gridCol w:w="828"/>
        <w:gridCol w:w="139"/>
        <w:gridCol w:w="861"/>
      </w:tblGrid>
      <w:tr>
        <w:trPr/>
        <w:tc>
          <w:tcPr>
            <w:tcW w:w="3995" w:type="dxa"/>
            <w:vMerge w:val="restart"/>
            <w:tcBorders/>
            <w:shd w:fill="004C97" w:val="clear"/>
            <w:vAlign w:val="center"/>
          </w:tcPr>
          <w:p>
            <w:pPr>
              <w:pStyle w:val="TableContents"/>
              <w:bidi w:val="0"/>
              <w:spacing w:before="0" w:after="283"/>
              <w:jc w:val="left"/>
              <w:rPr/>
            </w:pPr>
            <w:r>
              <w:rPr/>
              <w:t> </w:t>
            </w:r>
          </w:p>
        </w:tc>
        <w:tc>
          <w:tcPr>
            <w:tcW w:w="1772" w:type="dxa"/>
            <w:gridSpan w:val="4"/>
            <w:tcBorders/>
            <w:shd w:fill="004C97" w:val="cle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Three Months Ended,</w:t>
            </w:r>
          </w:p>
        </w:tc>
        <w:tc>
          <w:tcPr>
            <w:tcW w:w="1967" w:type="dxa"/>
            <w:gridSpan w:val="4"/>
            <w:tcBorders/>
            <w:shd w:fill="004C97" w:val="cle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Trailing Twelve Months,</w:t>
            </w:r>
          </w:p>
        </w:tc>
      </w:tr>
      <w:tr>
        <w:trPr/>
        <w:tc>
          <w:tcPr>
            <w:tcW w:w="3995" w:type="dxa"/>
            <w:vMerge w:val="continue"/>
            <w:tcBorders/>
            <w:shd w:fill="004C97" w:val="clear"/>
            <w:vAlign w:val="center"/>
          </w:tcPr>
          <w:p>
            <w:pPr>
              <w:pStyle w:val="Normal"/>
              <w:bidi w:val="0"/>
              <w:jc w:val="left"/>
              <w:rPr/>
            </w:pPr>
            <w:r>
              <w:rPr/>
            </w:r>
          </w:p>
        </w:tc>
        <w:tc>
          <w:tcPr>
            <w:tcW w:w="921" w:type="dxa"/>
            <w:gridSpan w:val="2"/>
            <w:tcBorders/>
            <w:shd w:fill="004C97" w:val="cle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2Q26</w:t>
            </w:r>
          </w:p>
        </w:tc>
        <w:tc>
          <w:tcPr>
            <w:tcW w:w="851" w:type="dxa"/>
            <w:gridSpan w:val="2"/>
            <w:tcBorders/>
            <w:shd w:fill="004C97" w:val="cle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2Q25</w:t>
            </w:r>
          </w:p>
        </w:tc>
        <w:tc>
          <w:tcPr>
            <w:tcW w:w="967" w:type="dxa"/>
            <w:gridSpan w:val="2"/>
            <w:tcBorders/>
            <w:shd w:fill="004C97" w:val="cle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2Q26</w:t>
            </w:r>
          </w:p>
        </w:tc>
        <w:tc>
          <w:tcPr>
            <w:tcW w:w="1000" w:type="dxa"/>
            <w:gridSpan w:val="2"/>
            <w:tcBorders/>
            <w:shd w:fill="004C97" w:val="clear"/>
            <w:vAlign w:val="center"/>
          </w:tcPr>
          <w:p>
            <w:pPr>
              <w:pStyle w:val="TableContents"/>
              <w:bidi w:val="0"/>
              <w:spacing w:before="0" w:after="283"/>
              <w:jc w:val="center"/>
              <w:rPr>
                <w:rFonts w:ascii="Arial;Helvetica;Sans-Serif" w:hAnsi="Arial;Helvetica;Sans-Serif"/>
                <w:color w:val="FFFFFF"/>
                <w:sz w:val="18"/>
              </w:rPr>
            </w:pPr>
            <w:r>
              <w:rPr>
                <w:rFonts w:ascii="Arial;Helvetica;Sans-Serif" w:hAnsi="Arial;Helvetica;Sans-Serif"/>
                <w:color w:val="FFFFFF"/>
                <w:sz w:val="18"/>
              </w:rPr>
              <w:t>2Q25</w:t>
            </w:r>
          </w:p>
        </w:tc>
      </w:tr>
      <w:tr>
        <w:trPr/>
        <w:tc>
          <w:tcPr>
            <w:tcW w:w="7734" w:type="dxa"/>
            <w:gridSpan w:val="9"/>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Investment Management Operating Revenues Less Pass-Through Expenses:</w:t>
            </w:r>
          </w:p>
        </w:tc>
      </w:tr>
      <w:tr>
        <w:trPr/>
        <w:tc>
          <w:tcPr>
            <w:tcW w:w="399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Operating revenues</w:t>
            </w:r>
          </w:p>
        </w:tc>
        <w:tc>
          <w:tcPr>
            <w:tcW w:w="145"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776" w:type="dxa"/>
            <w:tcBorders/>
            <w:vAlign w:val="center"/>
          </w:tcPr>
          <w:p>
            <w:pPr>
              <w:pStyle w:val="TableContents"/>
              <w:bidi w:val="0"/>
              <w:spacing w:before="0" w:after="283"/>
              <w:jc w:val="right"/>
              <w:rPr/>
            </w:pPr>
            <w:r>
              <w:rPr/>
              <w:t>   </w:t>
            </w:r>
            <w:r>
              <w:rPr>
                <w:rFonts w:ascii="Arial;Helvetica;Sans-Serif" w:hAnsi="Arial;Helvetica;Sans-Serif"/>
                <w:sz w:val="18"/>
              </w:rPr>
              <w:t>472.3</w:t>
            </w:r>
          </w:p>
        </w:tc>
        <w:tc>
          <w:tcPr>
            <w:tcW w:w="145"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706" w:type="dxa"/>
            <w:tcBorders/>
            <w:vAlign w:val="center"/>
          </w:tcPr>
          <w:p>
            <w:pPr>
              <w:pStyle w:val="TableContents"/>
              <w:bidi w:val="0"/>
              <w:spacing w:before="0" w:after="283"/>
              <w:jc w:val="right"/>
              <w:rPr/>
            </w:pPr>
            <w:r>
              <w:rPr/>
              <w:t> </w:t>
            </w:r>
            <w:r>
              <w:rPr>
                <w:rFonts w:ascii="Arial;Helvetica;Sans-Serif" w:hAnsi="Arial;Helvetica;Sans-Serif"/>
                <w:sz w:val="18"/>
              </w:rPr>
              <w:t>467.2</w:t>
            </w:r>
          </w:p>
        </w:tc>
        <w:tc>
          <w:tcPr>
            <w:tcW w:w="139"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828" w:type="dxa"/>
            <w:tcBorders/>
            <w:vAlign w:val="center"/>
          </w:tcPr>
          <w:p>
            <w:pPr>
              <w:pStyle w:val="TableContents"/>
              <w:bidi w:val="0"/>
              <w:spacing w:before="0" w:after="283"/>
              <w:jc w:val="right"/>
              <w:rPr/>
            </w:pPr>
            <w:r>
              <w:rPr/>
              <w:t> </w:t>
            </w:r>
            <w:r>
              <w:rPr>
                <w:rFonts w:ascii="Arial;Helvetica;Sans-Serif" w:hAnsi="Arial;Helvetica;Sans-Serif"/>
                <w:sz w:val="18"/>
              </w:rPr>
              <w:t>1,905.0</w:t>
            </w:r>
          </w:p>
        </w:tc>
        <w:tc>
          <w:tcPr>
            <w:tcW w:w="139"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861" w:type="dxa"/>
            <w:tcBorders/>
            <w:vAlign w:val="center"/>
          </w:tcPr>
          <w:p>
            <w:pPr>
              <w:pStyle w:val="TableContents"/>
              <w:bidi w:val="0"/>
              <w:spacing w:before="0" w:after="283"/>
              <w:jc w:val="right"/>
              <w:rPr/>
            </w:pPr>
            <w:r>
              <w:rPr/>
              <w:t>  </w:t>
            </w:r>
            <w:r>
              <w:rPr>
                <w:rFonts w:ascii="Arial;Helvetica;Sans-Serif" w:hAnsi="Arial;Helvetica;Sans-Serif"/>
                <w:sz w:val="18"/>
              </w:rPr>
              <w:t>1,861.9</w:t>
            </w:r>
          </w:p>
        </w:tc>
      </w:tr>
      <w:tr>
        <w:trPr/>
        <w:tc>
          <w:tcPr>
            <w:tcW w:w="3995" w:type="dxa"/>
            <w:tcBorders>
              <w:bottom w:val="single" w:sz="8" w:space="0" w:color="000000"/>
            </w:tcBorders>
            <w:tcMar>
              <w:bottom w:w="28" w:type="dxa"/>
            </w:tcMar>
            <w:vAlign w:val="center"/>
          </w:tcPr>
          <w:p>
            <w:pPr>
              <w:pStyle w:val="TableContents"/>
              <w:bidi w:val="0"/>
              <w:spacing w:before="0" w:after="283"/>
              <w:jc w:val="both"/>
              <w:rPr>
                <w:rFonts w:ascii="Arial;Helvetica;Sans-Serif" w:hAnsi="Arial;Helvetica;Sans-Serif"/>
                <w:sz w:val="18"/>
              </w:rPr>
            </w:pPr>
            <w:r>
              <w:rPr>
                <w:rFonts w:ascii="Arial;Helvetica;Sans-Serif" w:hAnsi="Arial;Helvetica;Sans-Serif"/>
                <w:sz w:val="18"/>
              </w:rPr>
              <w:t>Commissions and other expenses</w:t>
            </w:r>
          </w:p>
        </w:tc>
        <w:tc>
          <w:tcPr>
            <w:tcW w:w="921" w:type="dxa"/>
            <w:gridSpan w:val="2"/>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(40.7)</w:t>
            </w:r>
          </w:p>
        </w:tc>
        <w:tc>
          <w:tcPr>
            <w:tcW w:w="851" w:type="dxa"/>
            <w:gridSpan w:val="2"/>
            <w:tcBorders>
              <w:bottom w:val="single" w:sz="8" w:space="0" w:color="000000"/>
            </w:tcBorders>
            <w:tcMar>
              <w:bottom w:w="28"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(38.2)</w:t>
            </w:r>
          </w:p>
        </w:tc>
        <w:tc>
          <w:tcPr>
            <w:tcW w:w="967" w:type="dxa"/>
            <w:gridSpan w:val="2"/>
            <w:tcBorders>
              <w:bottom w:val="single" w:sz="8" w:space="0" w:color="000000"/>
            </w:tcBorders>
            <w:tcMar>
              <w:bottom w:w="28" w:type="dxa"/>
            </w:tcMar>
            <w:vAlign w:val="center"/>
          </w:tcPr>
          <w:p>
            <w:pPr>
              <w:pStyle w:val="TableContents"/>
              <w:bidi w:val="0"/>
              <w:spacing w:before="0" w:after="283"/>
              <w:jc w:val="right"/>
              <w:rPr/>
            </w:pPr>
            <w:r>
              <w:rPr/>
              <w:t> </w:t>
            </w:r>
            <w:r>
              <w:rPr>
                <w:rFonts w:ascii="Arial;Helvetica;Sans-Serif" w:hAnsi="Arial;Helvetica;Sans-Serif"/>
                <w:sz w:val="18"/>
              </w:rPr>
              <w:t>(161.6)</w:t>
            </w:r>
          </w:p>
        </w:tc>
        <w:tc>
          <w:tcPr>
            <w:tcW w:w="1000" w:type="dxa"/>
            <w:gridSpan w:val="2"/>
            <w:tcBorders>
              <w:bottom w:val="single" w:sz="8" w:space="0" w:color="000000"/>
            </w:tcBorders>
            <w:tcMar>
              <w:bottom w:w="28" w:type="dxa"/>
            </w:tcMar>
            <w:vAlign w:val="center"/>
          </w:tcPr>
          <w:p>
            <w:pPr>
              <w:pStyle w:val="TableContents"/>
              <w:bidi w:val="0"/>
              <w:spacing w:before="0" w:after="283"/>
              <w:jc w:val="right"/>
              <w:rPr/>
            </w:pPr>
            <w:r>
              <w:rPr/>
              <w:t> </w:t>
            </w:r>
            <w:r>
              <w:rPr>
                <w:rFonts w:ascii="Arial;Helvetica;Sans-Serif" w:hAnsi="Arial;Helvetica;Sans-Serif"/>
                <w:sz w:val="18"/>
              </w:rPr>
              <w:t>(153.4)</w:t>
            </w:r>
          </w:p>
        </w:tc>
      </w:tr>
      <w:tr>
        <w:trPr/>
        <w:tc>
          <w:tcPr>
            <w:tcW w:w="3995"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Operating revenues less pass-through expenses</w:t>
            </w:r>
          </w:p>
        </w:tc>
        <w:tc>
          <w:tcPr>
            <w:tcW w:w="145"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776" w:type="dxa"/>
            <w:tcBorders/>
            <w:vAlign w:val="center"/>
          </w:tcPr>
          <w:p>
            <w:pPr>
              <w:pStyle w:val="TableContents"/>
              <w:bidi w:val="0"/>
              <w:spacing w:before="0" w:after="283"/>
              <w:jc w:val="right"/>
              <w:rPr/>
            </w:pPr>
            <w:r>
              <w:rPr/>
              <w:t>  </w:t>
            </w:r>
            <w:r>
              <w:rPr>
                <w:rFonts w:ascii="Arial;Helvetica;Sans-Serif" w:hAnsi="Arial;Helvetica;Sans-Serif"/>
                <w:sz w:val="18"/>
              </w:rPr>
              <w:t>431.6</w:t>
            </w:r>
          </w:p>
        </w:tc>
        <w:tc>
          <w:tcPr>
            <w:tcW w:w="145"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706" w:type="dxa"/>
            <w:tcBorders/>
            <w:vAlign w:val="center"/>
          </w:tcPr>
          <w:p>
            <w:pPr>
              <w:pStyle w:val="TableContents"/>
              <w:bidi w:val="0"/>
              <w:spacing w:before="0" w:after="283"/>
              <w:jc w:val="right"/>
              <w:rPr/>
            </w:pPr>
            <w:r>
              <w:rPr/>
              <w:t>  </w:t>
            </w:r>
            <w:r>
              <w:rPr>
                <w:rFonts w:ascii="Arial;Helvetica;Sans-Serif" w:hAnsi="Arial;Helvetica;Sans-Serif"/>
                <w:sz w:val="18"/>
              </w:rPr>
              <w:t>429.0</w:t>
            </w:r>
          </w:p>
        </w:tc>
        <w:tc>
          <w:tcPr>
            <w:tcW w:w="139"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828" w:type="dxa"/>
            <w:tcBorders/>
            <w:vAlign w:val="center"/>
          </w:tcPr>
          <w:p>
            <w:pPr>
              <w:pStyle w:val="TableContents"/>
              <w:bidi w:val="0"/>
              <w:spacing w:before="0" w:after="283"/>
              <w:jc w:val="right"/>
              <w:rPr/>
            </w:pPr>
            <w:r>
              <w:rPr/>
              <w:t> </w:t>
            </w:r>
            <w:r>
              <w:rPr>
                <w:rFonts w:ascii="Arial;Helvetica;Sans-Serif" w:hAnsi="Arial;Helvetica;Sans-Serif"/>
                <w:sz w:val="18"/>
              </w:rPr>
              <w:t xml:space="preserve">1,743.4 </w:t>
            </w:r>
          </w:p>
        </w:tc>
        <w:tc>
          <w:tcPr>
            <w:tcW w:w="139" w:type="dxa"/>
            <w:tcBorders/>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w:t>
            </w:r>
          </w:p>
        </w:tc>
        <w:tc>
          <w:tcPr>
            <w:tcW w:w="861" w:type="dxa"/>
            <w:tcBorders/>
            <w:vAlign w:val="center"/>
          </w:tcPr>
          <w:p>
            <w:pPr>
              <w:pStyle w:val="TableContents"/>
              <w:bidi w:val="0"/>
              <w:spacing w:before="0" w:after="283"/>
              <w:jc w:val="right"/>
              <w:rPr/>
            </w:pPr>
            <w:r>
              <w:rPr/>
              <w:t> </w:t>
            </w:r>
            <w:r>
              <w:rPr>
                <w:rFonts w:ascii="Arial;Helvetica;Sans-Serif" w:hAnsi="Arial;Helvetica;Sans-Serif"/>
                <w:sz w:val="18"/>
              </w:rPr>
              <w:t>1,708.5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 w:name="Symbol">
    <w:charset w:val="02"/>
    <w:family w:val="auto"/>
    <w:pitch w:val="default"/>
  </w:font>
  <w:font w:name="FS Elliot Pro">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3989</Words>
  <Characters>23014</Characters>
  <CharactersWithSpaces>27078</CharactersWithSpaces>
  <Paragraphs>1500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